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F0CD3" w14:textId="77777777" w:rsidR="003F7E2D" w:rsidRPr="003F7E2D" w:rsidRDefault="003F7E2D" w:rsidP="00754C08">
      <w:pPr>
        <w:keepNext/>
        <w:keepLines/>
        <w:spacing w:before="480"/>
        <w:jc w:val="center"/>
        <w:outlineLvl w:val="0"/>
        <w:rPr>
          <w:rFonts w:asciiTheme="majorHAnsi" w:eastAsiaTheme="majorEastAsia" w:hAnsiTheme="majorHAnsi" w:cstheme="majorBidi"/>
          <w:b/>
          <w:bCs/>
          <w:color w:val="345A8A" w:themeColor="accent1" w:themeShade="B5"/>
          <w:sz w:val="32"/>
          <w:szCs w:val="32"/>
          <w:lang w:val="en-US"/>
        </w:rPr>
      </w:pPr>
      <w:r w:rsidRPr="003F7E2D">
        <w:rPr>
          <w:rFonts w:asciiTheme="majorHAnsi" w:eastAsiaTheme="majorEastAsia" w:hAnsiTheme="majorHAnsi" w:cstheme="majorBidi"/>
          <w:b/>
          <w:bCs/>
          <w:color w:val="345A8A" w:themeColor="accent1" w:themeShade="B5"/>
          <w:sz w:val="32"/>
          <w:szCs w:val="32"/>
          <w:lang w:val="en-US"/>
        </w:rPr>
        <w:t xml:space="preserve">Position on </w:t>
      </w:r>
      <w:bookmarkStart w:id="0" w:name="_GoBack"/>
      <w:r w:rsidRPr="003F7E2D">
        <w:rPr>
          <w:rFonts w:asciiTheme="majorHAnsi" w:eastAsiaTheme="majorEastAsia" w:hAnsiTheme="majorHAnsi" w:cstheme="majorBidi"/>
          <w:b/>
          <w:bCs/>
          <w:color w:val="345A8A" w:themeColor="accent1" w:themeShade="B5"/>
          <w:sz w:val="32"/>
          <w:szCs w:val="32"/>
          <w:lang w:val="en-US"/>
        </w:rPr>
        <w:t>eco</w:t>
      </w:r>
      <w:bookmarkEnd w:id="0"/>
      <w:r w:rsidRPr="003F7E2D">
        <w:rPr>
          <w:rFonts w:asciiTheme="majorHAnsi" w:eastAsiaTheme="majorEastAsia" w:hAnsiTheme="majorHAnsi" w:cstheme="majorBidi"/>
          <w:b/>
          <w:bCs/>
          <w:color w:val="345A8A" w:themeColor="accent1" w:themeShade="B5"/>
          <w:sz w:val="32"/>
          <w:szCs w:val="32"/>
          <w:lang w:val="en-US"/>
        </w:rPr>
        <w:t>-design for displays: resource efficiency requirements</w:t>
      </w:r>
    </w:p>
    <w:p w14:paraId="0C4663DD" w14:textId="77777777" w:rsidR="002C4D8C" w:rsidRPr="004D1B5D" w:rsidRDefault="002C4D8C" w:rsidP="002C4D8C">
      <w:pPr>
        <w:rPr>
          <w:b/>
          <w:color w:val="FF0000"/>
          <w:sz w:val="32"/>
          <w:lang w:val="en-US"/>
        </w:rPr>
      </w:pPr>
      <w:proofErr w:type="gramStart"/>
      <w:r>
        <w:rPr>
          <w:b/>
          <w:color w:val="FF0000"/>
          <w:sz w:val="32"/>
          <w:lang w:val="en-US"/>
        </w:rPr>
        <w:t>/!</w:t>
      </w:r>
      <w:r w:rsidRPr="004D1B5D">
        <w:rPr>
          <w:b/>
          <w:color w:val="FF0000"/>
          <w:sz w:val="32"/>
          <w:lang w:val="en-US"/>
        </w:rPr>
        <w:t>\</w:t>
      </w:r>
      <w:proofErr w:type="gramEnd"/>
      <w:r w:rsidRPr="004D1B5D">
        <w:rPr>
          <w:b/>
          <w:color w:val="FF0000"/>
          <w:sz w:val="32"/>
          <w:lang w:val="en-US"/>
        </w:rPr>
        <w:t xml:space="preserve"> WILL BE MADE PUBLIC</w:t>
      </w:r>
    </w:p>
    <w:p w14:paraId="649BDB15" w14:textId="77777777" w:rsidR="0036712A" w:rsidRDefault="0036712A" w:rsidP="0036712A">
      <w:pPr>
        <w:rPr>
          <w:lang w:val="en-US"/>
        </w:rPr>
      </w:pPr>
    </w:p>
    <w:p w14:paraId="4845D02F" w14:textId="77777777" w:rsidR="0036712A" w:rsidRPr="003370D6" w:rsidRDefault="0036712A" w:rsidP="0036712A">
      <w:pPr>
        <w:rPr>
          <w:sz w:val="22"/>
          <w:szCs w:val="22"/>
          <w:lang w:val="en-US"/>
        </w:rPr>
      </w:pPr>
    </w:p>
    <w:p w14:paraId="395063E8" w14:textId="2D095C25" w:rsidR="007C7196" w:rsidRPr="003370D6" w:rsidRDefault="00E719EB" w:rsidP="00175B5E">
      <w:pPr>
        <w:pStyle w:val="NoSpacing"/>
        <w:jc w:val="both"/>
        <w:rPr>
          <w:b/>
          <w:color w:val="000000" w:themeColor="text1"/>
          <w:lang w:val="en-US"/>
        </w:rPr>
      </w:pPr>
      <w:r w:rsidRPr="003370D6">
        <w:rPr>
          <w:color w:val="000000" w:themeColor="text1"/>
          <w:lang w:val="en-US"/>
        </w:rPr>
        <w:t>EuRIC welcomes the inclusion of m</w:t>
      </w:r>
      <w:r w:rsidR="00AB12E9" w:rsidRPr="003370D6">
        <w:rPr>
          <w:color w:val="000000" w:themeColor="text1"/>
          <w:lang w:val="en-US"/>
        </w:rPr>
        <w:t xml:space="preserve">aterial efficiency requirements </w:t>
      </w:r>
      <w:r w:rsidRPr="003370D6">
        <w:rPr>
          <w:color w:val="000000" w:themeColor="text1"/>
          <w:lang w:val="en-US"/>
        </w:rPr>
        <w:t xml:space="preserve">on the draft Regulation for </w:t>
      </w:r>
      <w:proofErr w:type="spellStart"/>
      <w:r w:rsidRPr="003370D6">
        <w:rPr>
          <w:color w:val="000000" w:themeColor="text1"/>
          <w:lang w:val="en-US"/>
        </w:rPr>
        <w:t>Ecodesign</w:t>
      </w:r>
      <w:proofErr w:type="spellEnd"/>
      <w:r w:rsidRPr="003370D6">
        <w:rPr>
          <w:color w:val="000000" w:themeColor="text1"/>
          <w:lang w:val="en-US"/>
        </w:rPr>
        <w:t xml:space="preserve"> requirements for </w:t>
      </w:r>
      <w:r w:rsidR="00AB12E9" w:rsidRPr="003370D6">
        <w:rPr>
          <w:color w:val="000000" w:themeColor="text1"/>
          <w:lang w:val="en-US"/>
        </w:rPr>
        <w:t>servers and dat</w:t>
      </w:r>
      <w:r w:rsidRPr="003370D6">
        <w:rPr>
          <w:color w:val="000000" w:themeColor="text1"/>
          <w:lang w:val="en-US"/>
        </w:rPr>
        <w:t xml:space="preserve">a storage products (Grow Lot 9), in particular the requirements to </w:t>
      </w:r>
      <w:r w:rsidRPr="003370D6">
        <w:rPr>
          <w:b/>
          <w:color w:val="000000" w:themeColor="text1"/>
          <w:lang w:val="en-US"/>
        </w:rPr>
        <w:t xml:space="preserve">ensure easy </w:t>
      </w:r>
      <w:r w:rsidR="003370D6" w:rsidRPr="003370D6">
        <w:rPr>
          <w:b/>
          <w:color w:val="000000" w:themeColor="text1"/>
          <w:lang w:val="en-US"/>
        </w:rPr>
        <w:t>dismantling</w:t>
      </w:r>
      <w:r w:rsidRPr="003370D6">
        <w:rPr>
          <w:b/>
          <w:color w:val="000000" w:themeColor="text1"/>
          <w:lang w:val="en-US"/>
        </w:rPr>
        <w:t xml:space="preserve">/disassembly </w:t>
      </w:r>
      <w:r w:rsidRPr="003370D6">
        <w:rPr>
          <w:color w:val="000000" w:themeColor="text1"/>
          <w:lang w:val="en-US"/>
        </w:rPr>
        <w:t xml:space="preserve">and to provide </w:t>
      </w:r>
      <w:r w:rsidRPr="003370D6">
        <w:rPr>
          <w:b/>
          <w:color w:val="000000" w:themeColor="text1"/>
          <w:lang w:val="en-US"/>
        </w:rPr>
        <w:t>information on the critical raw materials.</w:t>
      </w:r>
    </w:p>
    <w:p w14:paraId="5C158409" w14:textId="77777777" w:rsidR="00754C08" w:rsidRPr="003370D6" w:rsidRDefault="00754C08" w:rsidP="00175B5E">
      <w:pPr>
        <w:pStyle w:val="NoSpacing"/>
        <w:jc w:val="both"/>
        <w:rPr>
          <w:b/>
          <w:color w:val="000000" w:themeColor="text1"/>
          <w:lang w:val="en-US"/>
        </w:rPr>
      </w:pPr>
    </w:p>
    <w:p w14:paraId="4077356C" w14:textId="77777777" w:rsidR="004D1B5D" w:rsidRPr="003370D6" w:rsidRDefault="004D1B5D" w:rsidP="00175B5E">
      <w:pPr>
        <w:pStyle w:val="NoSpacing"/>
        <w:jc w:val="both"/>
        <w:rPr>
          <w:color w:val="000000" w:themeColor="text1"/>
          <w:lang w:val="en-US"/>
        </w:rPr>
      </w:pPr>
      <w:r w:rsidRPr="003370D6">
        <w:rPr>
          <w:color w:val="000000" w:themeColor="text1"/>
          <w:lang w:val="en-US"/>
        </w:rPr>
        <w:t>More specifically, and to complements the impact and cost assessment made by DG Grow and the consultants in charge of the preliminary study:</w:t>
      </w:r>
    </w:p>
    <w:p w14:paraId="6BAEEEF9" w14:textId="5B20C092" w:rsidR="004D1B5D" w:rsidRPr="000632ED" w:rsidRDefault="004D1B5D" w:rsidP="00175B5E">
      <w:pPr>
        <w:jc w:val="both"/>
        <w:rPr>
          <w:rFonts w:ascii="Cambria" w:hAnsi="Cambria"/>
          <w:color w:val="000000" w:themeColor="text1"/>
          <w:sz w:val="22"/>
          <w:szCs w:val="22"/>
          <w:lang w:val="en-US"/>
        </w:rPr>
      </w:pPr>
    </w:p>
    <w:p w14:paraId="3112B5E0" w14:textId="77777777" w:rsidR="004D1B5D" w:rsidRPr="000632ED" w:rsidRDefault="004D1B5D" w:rsidP="00175B5E">
      <w:pPr>
        <w:spacing w:after="120"/>
        <w:jc w:val="both"/>
        <w:rPr>
          <w:rFonts w:ascii="Cambria" w:hAnsi="Cambria"/>
          <w:color w:val="000000" w:themeColor="text1"/>
          <w:sz w:val="22"/>
          <w:szCs w:val="22"/>
          <w:u w:val="single"/>
          <w:lang w:val="en-US"/>
        </w:rPr>
      </w:pPr>
      <w:r w:rsidRPr="000632ED">
        <w:rPr>
          <w:rFonts w:ascii="Cambria" w:hAnsi="Cambria"/>
          <w:color w:val="000000" w:themeColor="text1"/>
          <w:sz w:val="22"/>
          <w:szCs w:val="22"/>
          <w:u w:val="single"/>
          <w:lang w:val="en-US"/>
        </w:rPr>
        <w:t>Annex II section 1.2:</w:t>
      </w:r>
    </w:p>
    <w:p w14:paraId="56A22A7E" w14:textId="77777777" w:rsidR="00175B5E" w:rsidRPr="00175B5E" w:rsidRDefault="004D1B5D" w:rsidP="00175B5E">
      <w:pPr>
        <w:pStyle w:val="ListParagraph"/>
        <w:numPr>
          <w:ilvl w:val="0"/>
          <w:numId w:val="18"/>
        </w:numPr>
        <w:spacing w:after="120"/>
        <w:ind w:left="360"/>
        <w:jc w:val="both"/>
        <w:rPr>
          <w:rFonts w:ascii="Cambria" w:hAnsi="Cambria"/>
          <w:color w:val="000000" w:themeColor="text1"/>
          <w:sz w:val="22"/>
          <w:szCs w:val="22"/>
          <w:u w:val="single"/>
          <w:lang w:val="en-US"/>
        </w:rPr>
      </w:pPr>
      <w:r w:rsidRPr="000632ED">
        <w:rPr>
          <w:rFonts w:ascii="Cambria" w:hAnsi="Cambria"/>
          <w:color w:val="000000" w:themeColor="text1"/>
          <w:sz w:val="22"/>
          <w:szCs w:val="22"/>
          <w:lang w:val="en-US"/>
        </w:rPr>
        <w:t>The wording in subsection 1.2.1 should be kept as it is, so as to specify that “</w:t>
      </w:r>
      <w:r w:rsidRPr="000632ED">
        <w:rPr>
          <w:rFonts w:ascii="Cambria" w:hAnsi="Cambria"/>
          <w:i/>
          <w:color w:val="000000" w:themeColor="text1"/>
          <w:sz w:val="22"/>
          <w:szCs w:val="22"/>
          <w:lang w:val="en-US"/>
        </w:rPr>
        <w:t>welding or firm gluing is not used as joining or sealing techniques for the following types of component, when present</w:t>
      </w:r>
      <w:r w:rsidRPr="000632ED">
        <w:rPr>
          <w:rFonts w:ascii="Cambria" w:hAnsi="Cambria"/>
          <w:color w:val="000000" w:themeColor="text1"/>
          <w:sz w:val="22"/>
          <w:szCs w:val="22"/>
          <w:lang w:val="en-US"/>
        </w:rPr>
        <w:t xml:space="preserve"> […]</w:t>
      </w:r>
      <w:r w:rsidR="003370D6">
        <w:rPr>
          <w:rFonts w:ascii="Cambria" w:hAnsi="Cambria"/>
          <w:color w:val="000000" w:themeColor="text1"/>
          <w:sz w:val="22"/>
          <w:szCs w:val="22"/>
          <w:lang w:val="en-US"/>
        </w:rPr>
        <w:t>”</w:t>
      </w:r>
      <w:r w:rsidRPr="000632ED">
        <w:rPr>
          <w:rFonts w:ascii="Cambria" w:hAnsi="Cambria"/>
          <w:color w:val="000000" w:themeColor="text1"/>
          <w:sz w:val="22"/>
          <w:szCs w:val="22"/>
          <w:lang w:val="en-US"/>
        </w:rPr>
        <w:t xml:space="preserve">, </w:t>
      </w:r>
      <w:r w:rsidRPr="000632ED">
        <w:rPr>
          <w:rFonts w:ascii="Cambria" w:hAnsi="Cambria"/>
          <w:color w:val="auto"/>
          <w:sz w:val="22"/>
          <w:szCs w:val="22"/>
          <w:lang w:val="en-US"/>
        </w:rPr>
        <w:t xml:space="preserve">in order to ensure consistency with the text proposed in Annex III of the draft Regulation on </w:t>
      </w:r>
      <w:proofErr w:type="spellStart"/>
      <w:r w:rsidRPr="000632ED">
        <w:rPr>
          <w:rFonts w:ascii="Cambria" w:hAnsi="Cambria"/>
          <w:color w:val="auto"/>
          <w:sz w:val="22"/>
          <w:szCs w:val="22"/>
          <w:lang w:val="en-US"/>
        </w:rPr>
        <w:t>Ecodesign</w:t>
      </w:r>
      <w:proofErr w:type="spellEnd"/>
      <w:r w:rsidRPr="000632ED">
        <w:rPr>
          <w:rFonts w:ascii="Cambria" w:hAnsi="Cambria"/>
          <w:color w:val="auto"/>
          <w:sz w:val="22"/>
          <w:szCs w:val="22"/>
          <w:lang w:val="en-US"/>
        </w:rPr>
        <w:t xml:space="preserve"> for displays</w:t>
      </w:r>
      <w:r w:rsidR="000632ED" w:rsidRPr="000632ED">
        <w:rPr>
          <w:rFonts w:ascii="Cambria" w:hAnsi="Cambria"/>
          <w:color w:val="000000" w:themeColor="text1"/>
          <w:sz w:val="22"/>
          <w:szCs w:val="22"/>
          <w:lang w:val="en-US"/>
        </w:rPr>
        <w:t>.</w:t>
      </w:r>
    </w:p>
    <w:p w14:paraId="4096F823" w14:textId="77777777" w:rsidR="00175B5E" w:rsidRPr="00175B5E" w:rsidRDefault="00175B5E" w:rsidP="00175B5E">
      <w:pPr>
        <w:pStyle w:val="ListParagraph"/>
        <w:spacing w:after="120"/>
        <w:ind w:left="360"/>
        <w:jc w:val="both"/>
        <w:rPr>
          <w:rFonts w:ascii="Cambria" w:hAnsi="Cambria"/>
          <w:color w:val="000000" w:themeColor="text1"/>
          <w:sz w:val="12"/>
          <w:szCs w:val="12"/>
          <w:lang w:val="en-US"/>
        </w:rPr>
      </w:pPr>
    </w:p>
    <w:p w14:paraId="41BA84ED" w14:textId="26450329" w:rsidR="000632ED" w:rsidRPr="00175B5E" w:rsidRDefault="000632ED" w:rsidP="00175B5E">
      <w:pPr>
        <w:pStyle w:val="ListParagraph"/>
        <w:spacing w:after="120"/>
        <w:ind w:left="360"/>
        <w:jc w:val="both"/>
        <w:rPr>
          <w:rFonts w:ascii="Cambria" w:hAnsi="Cambria"/>
          <w:color w:val="000000" w:themeColor="text1"/>
          <w:sz w:val="22"/>
          <w:szCs w:val="22"/>
          <w:u w:val="single"/>
          <w:lang w:val="en-US"/>
        </w:rPr>
      </w:pPr>
      <w:r w:rsidRPr="00175B5E">
        <w:rPr>
          <w:rFonts w:ascii="Cambria" w:hAnsi="Cambria"/>
          <w:b/>
          <w:color w:val="auto"/>
          <w:sz w:val="22"/>
          <w:szCs w:val="22"/>
          <w:lang w:val="en-US"/>
        </w:rPr>
        <w:t xml:space="preserve">Gluing and welding </w:t>
      </w:r>
      <w:r w:rsidRPr="00175B5E">
        <w:rPr>
          <w:rFonts w:ascii="Cambria" w:hAnsi="Cambria"/>
          <w:color w:val="auto"/>
          <w:sz w:val="22"/>
          <w:szCs w:val="22"/>
          <w:lang w:val="en-US"/>
        </w:rPr>
        <w:t>together different types of material hinders the possibility to separate material streams which is a pre-condition to quality recycling. This is increasingly problematic as new technologies such as Magnetic Pulse Welding (MPW) are developed, making the materials almost impossible to separate at end-of-life stage.</w:t>
      </w:r>
    </w:p>
    <w:p w14:paraId="2B8A6160" w14:textId="78C1236A" w:rsidR="000632ED" w:rsidRDefault="000632ED" w:rsidP="00175B5E">
      <w:pPr>
        <w:spacing w:after="120"/>
        <w:ind w:left="348"/>
        <w:jc w:val="both"/>
        <w:rPr>
          <w:rFonts w:ascii="Cambria" w:hAnsi="Cambria"/>
          <w:color w:val="auto"/>
          <w:sz w:val="22"/>
          <w:szCs w:val="22"/>
          <w:lang w:val="en-US"/>
        </w:rPr>
      </w:pPr>
      <w:r>
        <w:rPr>
          <w:rFonts w:ascii="Cambria" w:hAnsi="Cambria"/>
          <w:color w:val="auto"/>
          <w:sz w:val="22"/>
          <w:szCs w:val="22"/>
          <w:lang w:val="en-US"/>
        </w:rPr>
        <w:t>The alternative text proposed by Digital</w:t>
      </w:r>
      <w:r w:rsidR="00DB7061">
        <w:rPr>
          <w:rFonts w:ascii="Cambria" w:hAnsi="Cambria"/>
          <w:color w:val="auto"/>
          <w:sz w:val="22"/>
          <w:szCs w:val="22"/>
          <w:lang w:val="en-US"/>
        </w:rPr>
        <w:t xml:space="preserve"> </w:t>
      </w:r>
      <w:r>
        <w:rPr>
          <w:rFonts w:ascii="Cambria" w:hAnsi="Cambria"/>
          <w:color w:val="auto"/>
          <w:sz w:val="22"/>
          <w:szCs w:val="22"/>
          <w:lang w:val="en-US"/>
        </w:rPr>
        <w:t xml:space="preserve">Europe </w:t>
      </w:r>
      <w:r w:rsidRPr="002C4D8C">
        <w:rPr>
          <w:rFonts w:ascii="Cambria" w:hAnsi="Cambria"/>
          <w:color w:val="auto"/>
          <w:sz w:val="22"/>
          <w:szCs w:val="22"/>
          <w:u w:val="single"/>
          <w:lang w:val="en-US"/>
        </w:rPr>
        <w:t>should not replace the original text</w:t>
      </w:r>
      <w:r>
        <w:rPr>
          <w:rFonts w:ascii="Cambria" w:hAnsi="Cambria"/>
          <w:color w:val="auto"/>
          <w:sz w:val="22"/>
          <w:szCs w:val="22"/>
          <w:lang w:val="en-US"/>
        </w:rPr>
        <w:t xml:space="preserve"> as it avoids the mention of the terms gluing and welding</w:t>
      </w:r>
      <w:r w:rsidR="002C4D8C">
        <w:rPr>
          <w:rFonts w:ascii="Cambria" w:hAnsi="Cambria"/>
          <w:color w:val="auto"/>
          <w:sz w:val="22"/>
          <w:szCs w:val="22"/>
          <w:lang w:val="en-US"/>
        </w:rPr>
        <w:t>.</w:t>
      </w:r>
    </w:p>
    <w:p w14:paraId="76C65B37" w14:textId="35C9B05F" w:rsidR="00DB7061" w:rsidRDefault="00DB7061" w:rsidP="00175B5E">
      <w:pPr>
        <w:spacing w:after="120"/>
        <w:ind w:left="348"/>
        <w:jc w:val="both"/>
        <w:rPr>
          <w:rFonts w:ascii="Cambria" w:hAnsi="Cambria"/>
          <w:color w:val="auto"/>
          <w:sz w:val="22"/>
          <w:szCs w:val="22"/>
          <w:lang w:val="en-US"/>
        </w:rPr>
      </w:pPr>
      <w:r>
        <w:rPr>
          <w:rFonts w:ascii="Cambria" w:hAnsi="Cambria"/>
          <w:color w:val="auto"/>
          <w:sz w:val="22"/>
          <w:szCs w:val="22"/>
          <w:lang w:val="en-US"/>
        </w:rPr>
        <w:t>We also disagree with the addition of the following sentence “</w:t>
      </w:r>
      <w:r w:rsidRPr="00DB7061">
        <w:rPr>
          <w:rFonts w:ascii="Cambria" w:hAnsi="Cambria"/>
          <w:i/>
          <w:color w:val="auto"/>
          <w:sz w:val="22"/>
          <w:szCs w:val="22"/>
          <w:lang w:val="en-US"/>
        </w:rPr>
        <w:t>Exemptions apply where non-removable joining and sealing techniques are required to assure safety, quality or functionality”</w:t>
      </w:r>
      <w:r>
        <w:rPr>
          <w:rFonts w:ascii="Cambria" w:hAnsi="Cambria"/>
          <w:color w:val="auto"/>
          <w:sz w:val="22"/>
          <w:szCs w:val="22"/>
          <w:lang w:val="en-US"/>
        </w:rPr>
        <w:t>, which</w:t>
      </w:r>
      <w:r w:rsidR="002C4D8C">
        <w:rPr>
          <w:rFonts w:ascii="Cambria" w:hAnsi="Cambria"/>
          <w:color w:val="auto"/>
          <w:sz w:val="22"/>
          <w:szCs w:val="22"/>
          <w:lang w:val="en-US"/>
        </w:rPr>
        <w:t xml:space="preserve"> is too broad, and </w:t>
      </w:r>
      <w:r>
        <w:rPr>
          <w:rFonts w:ascii="Cambria" w:hAnsi="Cambria"/>
          <w:color w:val="auto"/>
          <w:sz w:val="22"/>
          <w:szCs w:val="22"/>
          <w:lang w:val="en-US"/>
        </w:rPr>
        <w:t xml:space="preserve">basically exempts the manufacturers of ensuring removability of the components </w:t>
      </w:r>
      <w:r w:rsidR="002C4D8C" w:rsidRPr="002C4D8C">
        <w:rPr>
          <w:rFonts w:ascii="Cambria" w:hAnsi="Cambria"/>
          <w:color w:val="auto"/>
          <w:sz w:val="22"/>
          <w:szCs w:val="22"/>
          <w:lang w:val="en-US"/>
        </w:rPr>
        <w:t>wi</w:t>
      </w:r>
      <w:r w:rsidR="002C4D8C">
        <w:rPr>
          <w:rFonts w:ascii="Cambria" w:hAnsi="Cambria"/>
          <w:color w:val="auto"/>
          <w:sz w:val="22"/>
          <w:szCs w:val="22"/>
          <w:lang w:val="en-US"/>
        </w:rPr>
        <w:t xml:space="preserve">thout proper justification. </w:t>
      </w:r>
      <w:r>
        <w:rPr>
          <w:rFonts w:ascii="Cambria" w:hAnsi="Cambria"/>
          <w:color w:val="auto"/>
          <w:sz w:val="22"/>
          <w:szCs w:val="22"/>
          <w:lang w:val="en-US"/>
        </w:rPr>
        <w:t>Moreover</w:t>
      </w:r>
      <w:r w:rsidR="002C4D8C">
        <w:rPr>
          <w:rFonts w:ascii="Cambria" w:hAnsi="Cambria"/>
          <w:color w:val="auto"/>
          <w:sz w:val="22"/>
          <w:szCs w:val="22"/>
          <w:lang w:val="en-US"/>
        </w:rPr>
        <w:t>,</w:t>
      </w:r>
      <w:r>
        <w:rPr>
          <w:rFonts w:ascii="Cambria" w:hAnsi="Cambria"/>
          <w:color w:val="auto"/>
          <w:sz w:val="22"/>
          <w:szCs w:val="22"/>
          <w:lang w:val="en-US"/>
        </w:rPr>
        <w:t xml:space="preserve"> the preliminary study shows that these design requirements are mostly already in effect for the majority of products</w:t>
      </w:r>
      <w:r w:rsidR="003370D6">
        <w:rPr>
          <w:rFonts w:ascii="Cambria" w:hAnsi="Cambria"/>
          <w:color w:val="auto"/>
          <w:sz w:val="22"/>
          <w:szCs w:val="22"/>
          <w:lang w:val="en-US"/>
        </w:rPr>
        <w:t>, thus leading to</w:t>
      </w:r>
      <w:r>
        <w:rPr>
          <w:rFonts w:ascii="Cambria" w:hAnsi="Cambria"/>
          <w:color w:val="auto"/>
          <w:sz w:val="22"/>
          <w:szCs w:val="22"/>
          <w:lang w:val="en-US"/>
        </w:rPr>
        <w:t xml:space="preserve"> zero</w:t>
      </w:r>
      <w:r w:rsidR="003370D6">
        <w:rPr>
          <w:rFonts w:ascii="Cambria" w:hAnsi="Cambria"/>
          <w:color w:val="auto"/>
          <w:sz w:val="22"/>
          <w:szCs w:val="22"/>
          <w:lang w:val="en-US"/>
        </w:rPr>
        <w:t xml:space="preserve"> to low</w:t>
      </w:r>
      <w:r>
        <w:rPr>
          <w:rFonts w:ascii="Cambria" w:hAnsi="Cambria"/>
          <w:color w:val="auto"/>
          <w:sz w:val="22"/>
          <w:szCs w:val="22"/>
          <w:lang w:val="en-US"/>
        </w:rPr>
        <w:t xml:space="preserve"> cost for manufacturers.</w:t>
      </w:r>
      <w:r w:rsidR="003370D6">
        <w:rPr>
          <w:rFonts w:ascii="Cambria" w:hAnsi="Cambria"/>
          <w:color w:val="auto"/>
          <w:sz w:val="22"/>
          <w:szCs w:val="22"/>
          <w:lang w:val="en-US"/>
        </w:rPr>
        <w:t xml:space="preserve"> The text proposed by the Commission is ne</w:t>
      </w:r>
      <w:r w:rsidR="00A456E3">
        <w:rPr>
          <w:rFonts w:ascii="Cambria" w:hAnsi="Cambria"/>
          <w:color w:val="auto"/>
          <w:sz w:val="22"/>
          <w:szCs w:val="22"/>
          <w:lang w:val="en-US"/>
        </w:rPr>
        <w:t>eded</w:t>
      </w:r>
      <w:r w:rsidR="003370D6">
        <w:rPr>
          <w:rFonts w:ascii="Cambria" w:hAnsi="Cambria"/>
          <w:color w:val="auto"/>
          <w:sz w:val="22"/>
          <w:szCs w:val="22"/>
          <w:lang w:val="en-US"/>
        </w:rPr>
        <w:t xml:space="preserve"> to ensure that the design continues to allow easy dismantling</w:t>
      </w:r>
      <w:r w:rsidR="00A456E3">
        <w:rPr>
          <w:rFonts w:ascii="Cambria" w:hAnsi="Cambria"/>
          <w:color w:val="auto"/>
          <w:sz w:val="22"/>
          <w:szCs w:val="22"/>
          <w:lang w:val="en-US"/>
        </w:rPr>
        <w:t>.</w:t>
      </w:r>
    </w:p>
    <w:p w14:paraId="32A647CA" w14:textId="04968E3C" w:rsidR="00DB7061" w:rsidRPr="000632ED" w:rsidRDefault="00A456E3" w:rsidP="00175B5E">
      <w:pPr>
        <w:spacing w:after="120"/>
        <w:ind w:left="348"/>
        <w:jc w:val="both"/>
        <w:rPr>
          <w:rFonts w:ascii="Cambria" w:hAnsi="Cambria"/>
          <w:color w:val="auto"/>
          <w:sz w:val="22"/>
          <w:szCs w:val="22"/>
          <w:lang w:val="en-US"/>
        </w:rPr>
      </w:pPr>
      <w:r>
        <w:rPr>
          <w:rFonts w:ascii="Cambria" w:hAnsi="Cambria"/>
          <w:color w:val="auto"/>
          <w:sz w:val="22"/>
          <w:szCs w:val="22"/>
          <w:lang w:val="en-US"/>
        </w:rPr>
        <w:t>Finally, t</w:t>
      </w:r>
      <w:r w:rsidR="00E56A0D">
        <w:rPr>
          <w:rFonts w:ascii="Cambria" w:hAnsi="Cambria"/>
          <w:color w:val="auto"/>
          <w:sz w:val="22"/>
          <w:szCs w:val="22"/>
          <w:lang w:val="en-US"/>
        </w:rPr>
        <w:t xml:space="preserve">he forecasted </w:t>
      </w:r>
      <w:r w:rsidR="00BA5D68">
        <w:rPr>
          <w:rFonts w:ascii="Cambria" w:hAnsi="Cambria"/>
          <w:color w:val="auto"/>
          <w:sz w:val="22"/>
          <w:szCs w:val="22"/>
          <w:lang w:val="en-US"/>
        </w:rPr>
        <w:t>1% increase in recycling should not be regarded as a reason for manufacturers to discard these removability requirements: it is exactly because most of the requirements to ease dismantling are already implemented that the recycling is expected to stay stable. By keeping the wording proposed by the Commission, we will ensure that the newest techniques developed also take into account the end-of-life stage of the products.</w:t>
      </w:r>
    </w:p>
    <w:p w14:paraId="2E96F8B5" w14:textId="77777777" w:rsidR="000632ED" w:rsidRPr="00175B5E" w:rsidRDefault="000632ED" w:rsidP="00175B5E">
      <w:pPr>
        <w:jc w:val="both"/>
        <w:rPr>
          <w:rFonts w:ascii="Cambria" w:hAnsi="Cambria"/>
          <w:color w:val="000000" w:themeColor="text1"/>
          <w:sz w:val="22"/>
          <w:szCs w:val="22"/>
          <w:lang w:val="en-US"/>
        </w:rPr>
      </w:pPr>
    </w:p>
    <w:p w14:paraId="03D70115" w14:textId="7C3CE21B" w:rsidR="00BA5D68" w:rsidRPr="000833E2" w:rsidRDefault="00BA5D68" w:rsidP="00175B5E">
      <w:pPr>
        <w:pStyle w:val="ListParagraph"/>
        <w:numPr>
          <w:ilvl w:val="0"/>
          <w:numId w:val="17"/>
        </w:numPr>
        <w:ind w:left="413"/>
        <w:jc w:val="both"/>
        <w:rPr>
          <w:rFonts w:ascii="Cambria" w:hAnsi="Cambria"/>
          <w:sz w:val="22"/>
          <w:szCs w:val="22"/>
          <w:lang w:val="en-US"/>
        </w:rPr>
      </w:pPr>
      <w:r>
        <w:rPr>
          <w:rFonts w:ascii="Cambria" w:hAnsi="Cambria"/>
          <w:color w:val="000000" w:themeColor="text1"/>
          <w:sz w:val="22"/>
          <w:szCs w:val="22"/>
          <w:lang w:val="en-US"/>
        </w:rPr>
        <w:t>The sentence “</w:t>
      </w:r>
      <w:r w:rsidRPr="00BA5D68">
        <w:rPr>
          <w:rFonts w:ascii="Cambria" w:hAnsi="Cambria"/>
          <w:i/>
          <w:color w:val="000000" w:themeColor="text1"/>
          <w:sz w:val="22"/>
          <w:szCs w:val="22"/>
          <w:lang w:val="en-US"/>
        </w:rPr>
        <w:t>Accessing components shall be ensured by documenting the sequence of dismantling operations needed to access the targeted components, including for each of these operations: type of operation, type and number of fastening technique(s) to be unlocked, and tool(s) required</w:t>
      </w:r>
      <w:r>
        <w:rPr>
          <w:rFonts w:ascii="Cambria" w:hAnsi="Cambria"/>
          <w:color w:val="000000" w:themeColor="text1"/>
          <w:sz w:val="22"/>
          <w:szCs w:val="22"/>
          <w:lang w:val="en-US"/>
        </w:rPr>
        <w:t>;” is particularly welcomed.</w:t>
      </w:r>
      <w:r w:rsidRPr="00BA5D68">
        <w:rPr>
          <w:rFonts w:ascii="Cambria" w:hAnsi="Cambria"/>
          <w:sz w:val="22"/>
          <w:szCs w:val="22"/>
          <w:lang w:val="en-US"/>
        </w:rPr>
        <w:t xml:space="preserve"> </w:t>
      </w:r>
      <w:r w:rsidRPr="00BA5D68">
        <w:rPr>
          <w:rFonts w:ascii="Cambria" w:hAnsi="Cambria"/>
          <w:color w:val="auto"/>
          <w:sz w:val="22"/>
          <w:szCs w:val="22"/>
          <w:lang w:val="en-US"/>
        </w:rPr>
        <w:t xml:space="preserve">Readily available information presented in a standardized manner to have an operational utility is a first and important step towards eco-design. It is a pre-condition to an efficient and swift dismantling and a pre-requisite to quality recycling. It is also in line of article 15 of the WEEE Directive on “information for treatment facilities”, yet to be implemented. </w:t>
      </w:r>
    </w:p>
    <w:p w14:paraId="104137D8" w14:textId="4D3EF8AE" w:rsidR="00BA5D68" w:rsidRDefault="00BA5D68" w:rsidP="00175B5E">
      <w:pPr>
        <w:pStyle w:val="ListParagraph"/>
        <w:ind w:left="425"/>
        <w:jc w:val="both"/>
        <w:rPr>
          <w:rFonts w:ascii="Cambria" w:hAnsi="Cambria"/>
          <w:sz w:val="22"/>
          <w:szCs w:val="22"/>
          <w:lang w:val="en-US"/>
        </w:rPr>
      </w:pPr>
    </w:p>
    <w:p w14:paraId="0EE4F922" w14:textId="77777777" w:rsidR="00175B5E" w:rsidRPr="000833E2" w:rsidRDefault="00175B5E" w:rsidP="00175B5E">
      <w:pPr>
        <w:pStyle w:val="ListParagraph"/>
        <w:ind w:left="425"/>
        <w:jc w:val="both"/>
        <w:rPr>
          <w:rFonts w:ascii="Cambria" w:hAnsi="Cambria"/>
          <w:sz w:val="22"/>
          <w:szCs w:val="22"/>
          <w:lang w:val="en-US"/>
        </w:rPr>
      </w:pPr>
    </w:p>
    <w:p w14:paraId="1F1DF0C2" w14:textId="06E2F1B1" w:rsidR="00BA5D68" w:rsidRDefault="00BA5D68" w:rsidP="00175B5E">
      <w:pPr>
        <w:pStyle w:val="ListParagraph"/>
        <w:jc w:val="both"/>
        <w:rPr>
          <w:rFonts w:ascii="Cambria" w:hAnsi="Cambria"/>
          <w:color w:val="000000" w:themeColor="text1"/>
          <w:sz w:val="22"/>
          <w:szCs w:val="22"/>
          <w:lang w:val="en-US"/>
        </w:rPr>
      </w:pPr>
    </w:p>
    <w:p w14:paraId="6D301C14" w14:textId="77777777" w:rsidR="00BA5D68" w:rsidRDefault="00BA5D68" w:rsidP="00175B5E">
      <w:pPr>
        <w:pStyle w:val="ListParagraph"/>
        <w:jc w:val="both"/>
        <w:rPr>
          <w:rFonts w:ascii="Cambria" w:hAnsi="Cambria"/>
          <w:color w:val="000000" w:themeColor="text1"/>
          <w:sz w:val="22"/>
          <w:szCs w:val="22"/>
          <w:lang w:val="en-US"/>
        </w:rPr>
      </w:pPr>
    </w:p>
    <w:p w14:paraId="4F539629" w14:textId="77777777" w:rsidR="004D1B5D" w:rsidRPr="00BA5D68" w:rsidRDefault="004D1B5D" w:rsidP="00175B5E">
      <w:pPr>
        <w:jc w:val="both"/>
        <w:rPr>
          <w:rFonts w:ascii="Cambria" w:hAnsi="Cambria"/>
          <w:color w:val="000000" w:themeColor="text1"/>
          <w:sz w:val="22"/>
          <w:szCs w:val="22"/>
          <w:u w:val="single"/>
          <w:lang w:val="en-US"/>
        </w:rPr>
      </w:pPr>
      <w:r w:rsidRPr="00BA5D68">
        <w:rPr>
          <w:rFonts w:ascii="Cambria" w:hAnsi="Cambria"/>
          <w:color w:val="000000" w:themeColor="text1"/>
          <w:sz w:val="22"/>
          <w:szCs w:val="22"/>
          <w:u w:val="single"/>
          <w:lang w:val="en-US"/>
        </w:rPr>
        <w:t>Annex II section 3.3:</w:t>
      </w:r>
    </w:p>
    <w:p w14:paraId="54B4826D" w14:textId="56D7C64B" w:rsidR="004D1B5D" w:rsidRPr="00BA5D68" w:rsidRDefault="001035EE" w:rsidP="00175B5E">
      <w:pPr>
        <w:pStyle w:val="NoSpacing"/>
        <w:numPr>
          <w:ilvl w:val="0"/>
          <w:numId w:val="17"/>
        </w:numPr>
        <w:jc w:val="both"/>
        <w:rPr>
          <w:rFonts w:ascii="Cambria" w:eastAsia="Times New Roman" w:hAnsi="Cambria"/>
          <w:color w:val="000000" w:themeColor="text1"/>
          <w:u w:val="single"/>
          <w:lang w:val="en-US"/>
        </w:rPr>
      </w:pPr>
      <w:r>
        <w:rPr>
          <w:rFonts w:ascii="Cambria" w:eastAsia="Times New Roman" w:hAnsi="Cambria"/>
          <w:color w:val="000000" w:themeColor="text1"/>
          <w:lang w:val="en-US"/>
        </w:rPr>
        <w:t xml:space="preserve">EuRIC welcomes the requirement for manufacturers to provide the weight per product and the indication of the components in which </w:t>
      </w:r>
      <w:r w:rsidRPr="00A456E3">
        <w:rPr>
          <w:rFonts w:ascii="Cambria" w:eastAsia="Times New Roman" w:hAnsi="Cambria"/>
          <w:b/>
          <w:color w:val="000000" w:themeColor="text1"/>
          <w:lang w:val="en-US"/>
        </w:rPr>
        <w:t xml:space="preserve">Cobalt, Neodymium and Palladium </w:t>
      </w:r>
      <w:r>
        <w:rPr>
          <w:rFonts w:ascii="Cambria" w:eastAsia="Times New Roman" w:hAnsi="Cambria"/>
          <w:color w:val="000000" w:themeColor="text1"/>
          <w:lang w:val="en-US"/>
        </w:rPr>
        <w:t>are present.</w:t>
      </w:r>
    </w:p>
    <w:p w14:paraId="2D775A46" w14:textId="2FCBA214" w:rsidR="001035EE" w:rsidRDefault="001035EE" w:rsidP="00175B5E">
      <w:pPr>
        <w:pStyle w:val="NoSpacing"/>
        <w:ind w:left="360"/>
        <w:jc w:val="both"/>
        <w:rPr>
          <w:color w:val="auto"/>
          <w:sz w:val="23"/>
          <w:szCs w:val="23"/>
          <w:lang w:val="en-US"/>
        </w:rPr>
      </w:pPr>
      <w:r w:rsidRPr="001035EE">
        <w:rPr>
          <w:color w:val="auto"/>
          <w:sz w:val="23"/>
          <w:szCs w:val="23"/>
          <w:lang w:val="en-US"/>
        </w:rPr>
        <w:t>This information will allow recyclers to anticipate the volumes of such materials in the</w:t>
      </w:r>
      <w:r>
        <w:rPr>
          <w:color w:val="auto"/>
          <w:sz w:val="23"/>
          <w:szCs w:val="23"/>
          <w:lang w:val="en-US"/>
        </w:rPr>
        <w:t xml:space="preserve"> equipment reaching end-of-life, hence promot</w:t>
      </w:r>
      <w:r w:rsidR="002C4D8C">
        <w:rPr>
          <w:color w:val="auto"/>
          <w:sz w:val="23"/>
          <w:szCs w:val="23"/>
          <w:lang w:val="en-US"/>
        </w:rPr>
        <w:t>ing</w:t>
      </w:r>
      <w:r>
        <w:rPr>
          <w:color w:val="auto"/>
          <w:sz w:val="23"/>
          <w:szCs w:val="23"/>
          <w:lang w:val="en-US"/>
        </w:rPr>
        <w:t xml:space="preserve"> the development of processes to separate these </w:t>
      </w:r>
      <w:r w:rsidR="002C4D8C">
        <w:rPr>
          <w:color w:val="auto"/>
          <w:sz w:val="23"/>
          <w:szCs w:val="23"/>
          <w:lang w:val="en-US"/>
        </w:rPr>
        <w:t>materials once profitable to do so.</w:t>
      </w:r>
    </w:p>
    <w:p w14:paraId="3215B547" w14:textId="1A202F01" w:rsidR="002C4D8C" w:rsidRDefault="002C4D8C" w:rsidP="00175B5E">
      <w:pPr>
        <w:pStyle w:val="NoSpacing"/>
        <w:ind w:left="360"/>
        <w:jc w:val="both"/>
        <w:rPr>
          <w:color w:val="auto"/>
          <w:sz w:val="23"/>
          <w:szCs w:val="23"/>
          <w:lang w:val="en-US"/>
        </w:rPr>
      </w:pPr>
      <w:r>
        <w:rPr>
          <w:color w:val="auto"/>
          <w:sz w:val="23"/>
          <w:szCs w:val="23"/>
          <w:lang w:val="en-US"/>
        </w:rPr>
        <w:t xml:space="preserve">The </w:t>
      </w:r>
      <w:r w:rsidR="00A456E3">
        <w:rPr>
          <w:color w:val="auto"/>
          <w:sz w:val="23"/>
          <w:szCs w:val="23"/>
          <w:lang w:val="en-US"/>
        </w:rPr>
        <w:t xml:space="preserve">forecasted </w:t>
      </w:r>
      <w:r>
        <w:rPr>
          <w:color w:val="auto"/>
          <w:sz w:val="23"/>
          <w:szCs w:val="23"/>
          <w:lang w:val="en-US"/>
        </w:rPr>
        <w:t>1% increase in recycling servers</w:t>
      </w:r>
      <w:r w:rsidR="00A456E3">
        <w:rPr>
          <w:color w:val="auto"/>
          <w:sz w:val="23"/>
          <w:szCs w:val="23"/>
          <w:lang w:val="en-US"/>
        </w:rPr>
        <w:t xml:space="preserve"> seems</w:t>
      </w:r>
      <w:r>
        <w:rPr>
          <w:color w:val="auto"/>
          <w:sz w:val="23"/>
          <w:szCs w:val="23"/>
          <w:lang w:val="en-US"/>
        </w:rPr>
        <w:t xml:space="preserve"> underestimat</w:t>
      </w:r>
      <w:r w:rsidR="00A456E3">
        <w:rPr>
          <w:color w:val="auto"/>
          <w:sz w:val="23"/>
          <w:szCs w:val="23"/>
          <w:lang w:val="en-US"/>
        </w:rPr>
        <w:t>ed</w:t>
      </w:r>
      <w:r>
        <w:rPr>
          <w:color w:val="auto"/>
          <w:sz w:val="23"/>
          <w:szCs w:val="23"/>
          <w:lang w:val="en-US"/>
        </w:rPr>
        <w:t>, at least when considering the long term.</w:t>
      </w:r>
    </w:p>
    <w:p w14:paraId="2BFC8024" w14:textId="5FB7FFDF" w:rsidR="004D1B5D" w:rsidRDefault="004D1B5D" w:rsidP="00175B5E">
      <w:pPr>
        <w:pStyle w:val="NoSpacing"/>
        <w:jc w:val="both"/>
        <w:rPr>
          <w:sz w:val="23"/>
          <w:szCs w:val="23"/>
          <w:lang w:val="en-US"/>
        </w:rPr>
      </w:pPr>
    </w:p>
    <w:p w14:paraId="62A061F0" w14:textId="5A3A4E72" w:rsidR="002C4D8C" w:rsidRPr="002C4D8C" w:rsidRDefault="002C4D8C" w:rsidP="00175B5E">
      <w:pPr>
        <w:pStyle w:val="NoSpacing"/>
        <w:numPr>
          <w:ilvl w:val="0"/>
          <w:numId w:val="17"/>
        </w:numPr>
        <w:jc w:val="both"/>
        <w:rPr>
          <w:color w:val="auto"/>
          <w:sz w:val="23"/>
          <w:szCs w:val="23"/>
          <w:lang w:val="en-US"/>
        </w:rPr>
      </w:pPr>
      <w:r w:rsidRPr="002C4D8C">
        <w:rPr>
          <w:color w:val="auto"/>
          <w:sz w:val="23"/>
          <w:szCs w:val="23"/>
          <w:lang w:val="en-US"/>
        </w:rPr>
        <w:t>As already stated above, it is seen as a very positive step that the information on the operations, type and number of fastening techniques and tools required would be made available on a website upon registration</w:t>
      </w:r>
      <w:r w:rsidR="00A456E3">
        <w:rPr>
          <w:color w:val="auto"/>
          <w:sz w:val="23"/>
          <w:szCs w:val="23"/>
          <w:lang w:val="en-US"/>
        </w:rPr>
        <w:t xml:space="preserve"> by recyclers dealing with these products when they reach end-of-life</w:t>
      </w:r>
      <w:r w:rsidRPr="002C4D8C">
        <w:rPr>
          <w:color w:val="auto"/>
          <w:sz w:val="23"/>
          <w:szCs w:val="23"/>
          <w:lang w:val="en-US"/>
        </w:rPr>
        <w:t>.</w:t>
      </w:r>
    </w:p>
    <w:p w14:paraId="10CCB82D" w14:textId="77777777" w:rsidR="004D1B5D" w:rsidRDefault="004D1B5D" w:rsidP="00AB12E9">
      <w:pPr>
        <w:pStyle w:val="NoSpacing"/>
        <w:rPr>
          <w:sz w:val="23"/>
          <w:szCs w:val="23"/>
          <w:lang w:val="en-US"/>
        </w:rPr>
      </w:pPr>
    </w:p>
    <w:p w14:paraId="18C25AAF" w14:textId="77777777" w:rsidR="004D1B5D" w:rsidRDefault="004D1B5D" w:rsidP="00AB12E9">
      <w:pPr>
        <w:pStyle w:val="NoSpacing"/>
        <w:rPr>
          <w:sz w:val="23"/>
          <w:szCs w:val="23"/>
          <w:lang w:val="en-US"/>
        </w:rPr>
      </w:pPr>
    </w:p>
    <w:p w14:paraId="731DB839" w14:textId="77777777" w:rsidR="004D1B5D" w:rsidRDefault="004D1B5D" w:rsidP="00AB12E9">
      <w:pPr>
        <w:pStyle w:val="NoSpacing"/>
        <w:rPr>
          <w:sz w:val="23"/>
          <w:szCs w:val="23"/>
          <w:lang w:val="en-US"/>
        </w:rPr>
      </w:pPr>
    </w:p>
    <w:p w14:paraId="56315BF1" w14:textId="77777777" w:rsidR="004D1B5D" w:rsidRDefault="004D1B5D" w:rsidP="00AB12E9">
      <w:pPr>
        <w:pStyle w:val="NoSpacing"/>
        <w:rPr>
          <w:sz w:val="23"/>
          <w:szCs w:val="23"/>
          <w:lang w:val="en-US"/>
        </w:rPr>
      </w:pPr>
    </w:p>
    <w:p w14:paraId="3EA1027E" w14:textId="77777777" w:rsidR="004D1B5D" w:rsidRDefault="004D1B5D" w:rsidP="00AB12E9">
      <w:pPr>
        <w:pStyle w:val="NoSpacing"/>
        <w:rPr>
          <w:sz w:val="23"/>
          <w:szCs w:val="23"/>
          <w:lang w:val="en-US"/>
        </w:rPr>
      </w:pPr>
    </w:p>
    <w:p w14:paraId="41E982BA" w14:textId="77777777" w:rsidR="004D1B5D" w:rsidRDefault="004D1B5D" w:rsidP="00AB12E9">
      <w:pPr>
        <w:pStyle w:val="NoSpacing"/>
        <w:rPr>
          <w:sz w:val="23"/>
          <w:szCs w:val="23"/>
          <w:lang w:val="en-US"/>
        </w:rPr>
      </w:pPr>
    </w:p>
    <w:p w14:paraId="3648E313" w14:textId="77777777" w:rsidR="004D1B5D" w:rsidRDefault="004D1B5D" w:rsidP="00AB12E9">
      <w:pPr>
        <w:pStyle w:val="NoSpacing"/>
        <w:rPr>
          <w:sz w:val="23"/>
          <w:szCs w:val="23"/>
          <w:lang w:val="en-US"/>
        </w:rPr>
      </w:pPr>
    </w:p>
    <w:p w14:paraId="253C3103" w14:textId="77777777" w:rsidR="004D1B5D" w:rsidRDefault="004D1B5D" w:rsidP="00AB12E9">
      <w:pPr>
        <w:pStyle w:val="NoSpacing"/>
        <w:rPr>
          <w:sz w:val="23"/>
          <w:szCs w:val="23"/>
          <w:lang w:val="en-US"/>
        </w:rPr>
      </w:pPr>
    </w:p>
    <w:p w14:paraId="11310327" w14:textId="77777777" w:rsidR="004D1B5D" w:rsidRDefault="004D1B5D" w:rsidP="00AB12E9">
      <w:pPr>
        <w:pStyle w:val="NoSpacing"/>
        <w:rPr>
          <w:sz w:val="23"/>
          <w:szCs w:val="23"/>
          <w:lang w:val="en-US"/>
        </w:rPr>
      </w:pPr>
    </w:p>
    <w:p w14:paraId="2052B873" w14:textId="77777777" w:rsidR="004D1B5D" w:rsidRDefault="004D1B5D" w:rsidP="00AB12E9">
      <w:pPr>
        <w:pStyle w:val="NoSpacing"/>
        <w:rPr>
          <w:sz w:val="23"/>
          <w:szCs w:val="23"/>
          <w:lang w:val="en-US"/>
        </w:rPr>
      </w:pPr>
    </w:p>
    <w:p w14:paraId="207ADFFB" w14:textId="77777777" w:rsidR="004D1B5D" w:rsidRDefault="004D1B5D" w:rsidP="00AB12E9">
      <w:pPr>
        <w:pStyle w:val="NoSpacing"/>
        <w:rPr>
          <w:sz w:val="23"/>
          <w:szCs w:val="23"/>
          <w:lang w:val="en-US"/>
        </w:rPr>
      </w:pPr>
    </w:p>
    <w:p w14:paraId="5C5A6761" w14:textId="77777777" w:rsidR="00973858" w:rsidRDefault="00973858" w:rsidP="00385B71">
      <w:pPr>
        <w:autoSpaceDE w:val="0"/>
        <w:autoSpaceDN w:val="0"/>
        <w:adjustRightInd w:val="0"/>
        <w:spacing w:after="160"/>
        <w:jc w:val="both"/>
        <w:rPr>
          <w:sz w:val="23"/>
          <w:szCs w:val="23"/>
          <w:lang w:val="en-US"/>
        </w:rPr>
      </w:pPr>
    </w:p>
    <w:p w14:paraId="133CE070" w14:textId="77777777" w:rsidR="005E6523" w:rsidRDefault="005E6523" w:rsidP="00385B71">
      <w:pPr>
        <w:autoSpaceDE w:val="0"/>
        <w:autoSpaceDN w:val="0"/>
        <w:adjustRightInd w:val="0"/>
        <w:spacing w:after="160"/>
        <w:jc w:val="both"/>
        <w:rPr>
          <w:sz w:val="23"/>
          <w:szCs w:val="23"/>
          <w:lang w:val="en-US"/>
        </w:rPr>
      </w:pPr>
    </w:p>
    <w:p w14:paraId="217AE741" w14:textId="77777777" w:rsidR="005E6523" w:rsidRDefault="005E6523" w:rsidP="00385B71">
      <w:pPr>
        <w:autoSpaceDE w:val="0"/>
        <w:autoSpaceDN w:val="0"/>
        <w:adjustRightInd w:val="0"/>
        <w:spacing w:after="160"/>
        <w:jc w:val="both"/>
        <w:rPr>
          <w:sz w:val="23"/>
          <w:szCs w:val="23"/>
          <w:lang w:val="en-US"/>
        </w:rPr>
      </w:pPr>
    </w:p>
    <w:p w14:paraId="030675CB" w14:textId="77777777" w:rsidR="005E6523" w:rsidRDefault="005E6523" w:rsidP="00385B71">
      <w:pPr>
        <w:autoSpaceDE w:val="0"/>
        <w:autoSpaceDN w:val="0"/>
        <w:adjustRightInd w:val="0"/>
        <w:spacing w:after="160"/>
        <w:jc w:val="both"/>
        <w:rPr>
          <w:sz w:val="23"/>
          <w:szCs w:val="23"/>
          <w:lang w:val="en-US"/>
        </w:rPr>
      </w:pPr>
    </w:p>
    <w:p w14:paraId="29E1A3AC" w14:textId="77777777" w:rsidR="005E6523" w:rsidRDefault="005E6523" w:rsidP="00385B71">
      <w:pPr>
        <w:autoSpaceDE w:val="0"/>
        <w:autoSpaceDN w:val="0"/>
        <w:adjustRightInd w:val="0"/>
        <w:spacing w:after="160"/>
        <w:jc w:val="both"/>
        <w:rPr>
          <w:sz w:val="23"/>
          <w:szCs w:val="23"/>
          <w:lang w:val="en-US"/>
        </w:rPr>
      </w:pPr>
    </w:p>
    <w:p w14:paraId="5050B66E" w14:textId="77777777" w:rsidR="005E6523" w:rsidRDefault="005E6523" w:rsidP="00385B71">
      <w:pPr>
        <w:autoSpaceDE w:val="0"/>
        <w:autoSpaceDN w:val="0"/>
        <w:adjustRightInd w:val="0"/>
        <w:spacing w:after="160"/>
        <w:jc w:val="both"/>
        <w:rPr>
          <w:sz w:val="23"/>
          <w:szCs w:val="23"/>
          <w:lang w:val="en-US"/>
        </w:rPr>
      </w:pPr>
    </w:p>
    <w:p w14:paraId="43738C9A" w14:textId="77777777" w:rsidR="005E6523" w:rsidRDefault="005E6523" w:rsidP="00385B71">
      <w:pPr>
        <w:autoSpaceDE w:val="0"/>
        <w:autoSpaceDN w:val="0"/>
        <w:adjustRightInd w:val="0"/>
        <w:spacing w:after="160"/>
        <w:jc w:val="both"/>
        <w:rPr>
          <w:sz w:val="23"/>
          <w:szCs w:val="23"/>
          <w:lang w:val="en-US"/>
        </w:rPr>
      </w:pPr>
    </w:p>
    <w:p w14:paraId="42E5C656" w14:textId="77777777" w:rsidR="005E6523" w:rsidRDefault="005E6523" w:rsidP="00385B71">
      <w:pPr>
        <w:autoSpaceDE w:val="0"/>
        <w:autoSpaceDN w:val="0"/>
        <w:adjustRightInd w:val="0"/>
        <w:spacing w:after="160"/>
        <w:jc w:val="both"/>
        <w:rPr>
          <w:sz w:val="23"/>
          <w:szCs w:val="23"/>
          <w:lang w:val="en-US"/>
        </w:rPr>
      </w:pPr>
    </w:p>
    <w:p w14:paraId="03F6BBA5" w14:textId="77777777" w:rsidR="005E6523" w:rsidRDefault="005E6523" w:rsidP="00385B71">
      <w:pPr>
        <w:autoSpaceDE w:val="0"/>
        <w:autoSpaceDN w:val="0"/>
        <w:adjustRightInd w:val="0"/>
        <w:spacing w:after="160"/>
        <w:jc w:val="both"/>
        <w:rPr>
          <w:sz w:val="23"/>
          <w:szCs w:val="23"/>
          <w:lang w:val="en-US"/>
        </w:rPr>
      </w:pPr>
    </w:p>
    <w:tbl>
      <w:tblPr>
        <w:tblStyle w:val="TableGrid"/>
        <w:tblpPr w:leftFromText="141" w:rightFromText="141" w:vertAnchor="text" w:horzAnchor="margin" w:tblpY="349"/>
        <w:tblW w:w="0" w:type="auto"/>
        <w:tblLook w:val="04A0" w:firstRow="1" w:lastRow="0" w:firstColumn="1" w:lastColumn="0" w:noHBand="0" w:noVBand="1"/>
      </w:tblPr>
      <w:tblGrid>
        <w:gridCol w:w="9493"/>
      </w:tblGrid>
      <w:tr w:rsidR="002C4D8C" w:rsidRPr="00080D95" w14:paraId="1ADA2D48" w14:textId="77777777" w:rsidTr="002C4D8C">
        <w:tc>
          <w:tcPr>
            <w:tcW w:w="9493" w:type="dxa"/>
          </w:tcPr>
          <w:p w14:paraId="5D182166" w14:textId="77777777" w:rsidR="002C4D8C" w:rsidRPr="003370D6" w:rsidRDefault="002C4D8C" w:rsidP="002C4D8C">
            <w:pPr>
              <w:jc w:val="both"/>
              <w:rPr>
                <w:color w:val="auto"/>
              </w:rPr>
            </w:pPr>
            <w:r w:rsidRPr="003370D6">
              <w:rPr>
                <w:color w:val="auto"/>
              </w:rPr>
              <w:t xml:space="preserve">Through its Member Recycling Federations from 20 EU and EFTA countries, EuRIC represents today over: </w:t>
            </w:r>
          </w:p>
          <w:p w14:paraId="01C6284A" w14:textId="77777777" w:rsidR="002C4D8C" w:rsidRPr="003370D6" w:rsidRDefault="002C4D8C" w:rsidP="002C4D8C">
            <w:pPr>
              <w:pStyle w:val="ListParagraph"/>
              <w:numPr>
                <w:ilvl w:val="0"/>
                <w:numId w:val="1"/>
              </w:numPr>
              <w:ind w:left="428"/>
              <w:jc w:val="both"/>
              <w:rPr>
                <w:color w:val="auto"/>
              </w:rPr>
            </w:pPr>
            <w:r w:rsidRPr="003370D6">
              <w:rPr>
                <w:color w:val="auto"/>
              </w:rPr>
              <w:t>5,500 companies generating an aggregated annual turnover of about 95 billion €, including large companies and SMEs, involved in the recycling and trade of various resource streams;</w:t>
            </w:r>
          </w:p>
          <w:p w14:paraId="2A045761" w14:textId="77777777" w:rsidR="002C4D8C" w:rsidRPr="003370D6" w:rsidRDefault="002C4D8C" w:rsidP="002C4D8C">
            <w:pPr>
              <w:pStyle w:val="ListParagraph"/>
              <w:numPr>
                <w:ilvl w:val="0"/>
                <w:numId w:val="1"/>
              </w:numPr>
              <w:ind w:left="428"/>
              <w:jc w:val="both"/>
              <w:rPr>
                <w:color w:val="auto"/>
              </w:rPr>
            </w:pPr>
            <w:r w:rsidRPr="003370D6">
              <w:rPr>
                <w:color w:val="auto"/>
              </w:rPr>
              <w:t xml:space="preserve">300,000 local jobs which cannot be outsourced to third EU countries; </w:t>
            </w:r>
          </w:p>
          <w:p w14:paraId="0398FC6F" w14:textId="77777777" w:rsidR="002C4D8C" w:rsidRPr="003370D6" w:rsidRDefault="002C4D8C" w:rsidP="002C4D8C">
            <w:pPr>
              <w:pStyle w:val="ListParagraph"/>
              <w:numPr>
                <w:ilvl w:val="0"/>
                <w:numId w:val="1"/>
              </w:numPr>
              <w:ind w:left="428"/>
              <w:jc w:val="both"/>
              <w:rPr>
                <w:color w:val="auto"/>
              </w:rPr>
            </w:pPr>
            <w:r w:rsidRPr="003370D6">
              <w:rPr>
                <w:color w:val="auto"/>
              </w:rPr>
              <w:t>An average of 150 million tons of waste recycled per year (paper, metals, glass and beyond).</w:t>
            </w:r>
          </w:p>
          <w:p w14:paraId="1F18F0CA" w14:textId="77777777" w:rsidR="002C4D8C" w:rsidRPr="00080D95" w:rsidRDefault="002C4D8C" w:rsidP="002C4D8C">
            <w:pPr>
              <w:jc w:val="both"/>
              <w:rPr>
                <w:sz w:val="22"/>
                <w:szCs w:val="22"/>
              </w:rPr>
            </w:pPr>
            <w:r w:rsidRPr="003370D6">
              <w:rPr>
                <w:color w:val="auto"/>
              </w:rPr>
              <w:t>Recyclers play a key role in a circular economy. By turning wastes into resources, recycling is the link which reintroduces recycled materials into the value chains again and again.</w:t>
            </w:r>
          </w:p>
        </w:tc>
      </w:tr>
    </w:tbl>
    <w:p w14:paraId="2B8959B9" w14:textId="77777777" w:rsidR="005E6523" w:rsidRDefault="005E6523" w:rsidP="00385B71">
      <w:pPr>
        <w:autoSpaceDE w:val="0"/>
        <w:autoSpaceDN w:val="0"/>
        <w:adjustRightInd w:val="0"/>
        <w:spacing w:after="160"/>
        <w:jc w:val="both"/>
        <w:rPr>
          <w:sz w:val="23"/>
          <w:szCs w:val="23"/>
          <w:lang w:val="en-US"/>
        </w:rPr>
      </w:pPr>
    </w:p>
    <w:p w14:paraId="4F43CB33" w14:textId="77777777" w:rsidR="005E6523" w:rsidRDefault="005E6523" w:rsidP="00385B71">
      <w:pPr>
        <w:autoSpaceDE w:val="0"/>
        <w:autoSpaceDN w:val="0"/>
        <w:adjustRightInd w:val="0"/>
        <w:spacing w:after="160"/>
        <w:jc w:val="both"/>
        <w:rPr>
          <w:sz w:val="23"/>
          <w:szCs w:val="23"/>
          <w:lang w:val="en-US"/>
        </w:rPr>
      </w:pPr>
    </w:p>
    <w:sectPr w:rsidR="005E6523" w:rsidSect="00587E70">
      <w:headerReference w:type="even" r:id="rId8"/>
      <w:headerReference w:type="default" r:id="rId9"/>
      <w:footerReference w:type="even" r:id="rId10"/>
      <w:footerReference w:type="default" r:id="rId11"/>
      <w:headerReference w:type="first" r:id="rId12"/>
      <w:footerReference w:type="first" r:id="rId13"/>
      <w:pgSz w:w="11900" w:h="16840"/>
      <w:pgMar w:top="2268" w:right="1191" w:bottom="1304" w:left="119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22F6D" w14:textId="77777777" w:rsidR="008D65FB" w:rsidRDefault="008D65FB" w:rsidP="00DC1BBE">
      <w:r>
        <w:separator/>
      </w:r>
    </w:p>
  </w:endnote>
  <w:endnote w:type="continuationSeparator" w:id="0">
    <w:p w14:paraId="6877669C" w14:textId="77777777" w:rsidR="008D65FB" w:rsidRDefault="008D65FB" w:rsidP="00DC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2D03C" w14:textId="77777777" w:rsidR="00175B5E" w:rsidRDefault="00175B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6A077" w14:textId="77777777" w:rsidR="00175B5E" w:rsidRDefault="00175B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E5064" w14:textId="77777777" w:rsidR="00175B5E" w:rsidRDefault="00175B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B6E44" w14:textId="77777777" w:rsidR="008D65FB" w:rsidRDefault="008D65FB" w:rsidP="00DC1BBE">
      <w:r>
        <w:separator/>
      </w:r>
    </w:p>
  </w:footnote>
  <w:footnote w:type="continuationSeparator" w:id="0">
    <w:p w14:paraId="4969EA91" w14:textId="77777777" w:rsidR="008D65FB" w:rsidRDefault="008D65FB" w:rsidP="00DC1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A1C2B" w14:textId="77777777" w:rsidR="00175B5E" w:rsidRDefault="00175B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noProof/>
        <w:color w:val="1F497D" w:themeColor="text2"/>
        <w:sz w:val="22"/>
        <w:szCs w:val="22"/>
        <w:lang w:val="fr-BE" w:eastAsia="fr-BE"/>
      </w:rPr>
      <w:id w:val="192803738"/>
      <w:docPartObj>
        <w:docPartGallery w:val="Watermarks"/>
        <w:docPartUnique/>
      </w:docPartObj>
    </w:sdtPr>
    <w:sdtContent>
      <w:p w14:paraId="120F7DB4" w14:textId="7006B21B" w:rsidR="00987411" w:rsidRDefault="00175B5E" w:rsidP="00255BBF">
        <w:pPr>
          <w:pStyle w:val="Header"/>
          <w:jc w:val="right"/>
          <w:rPr>
            <w:rFonts w:ascii="Cambria" w:hAnsi="Cambria"/>
            <w:noProof/>
            <w:color w:val="1F497D" w:themeColor="text2"/>
            <w:sz w:val="22"/>
            <w:szCs w:val="22"/>
            <w:lang w:val="fr-BE" w:eastAsia="fr-BE"/>
          </w:rPr>
        </w:pPr>
        <w:r w:rsidRPr="00175B5E">
          <w:rPr>
            <w:rFonts w:ascii="Cambria" w:hAnsi="Cambria"/>
            <w:noProof/>
            <w:color w:val="1F497D" w:themeColor="text2"/>
            <w:sz w:val="22"/>
            <w:szCs w:val="22"/>
            <w:lang w:val="fr-BE" w:eastAsia="fr-BE"/>
          </w:rPr>
          <w:pict w14:anchorId="00FED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7756254C" w14:textId="77777777" w:rsidR="0087434D" w:rsidRPr="00255BBF" w:rsidRDefault="0087434D" w:rsidP="00255BBF">
    <w:pPr>
      <w:pStyle w:val="Header"/>
      <w:jc w:val="right"/>
      <w:rPr>
        <w:rFonts w:ascii="Cambria" w:hAnsi="Cambria"/>
        <w:sz w:val="22"/>
        <w:szCs w:val="22"/>
      </w:rPr>
    </w:pPr>
    <w:r w:rsidRPr="00255BBF">
      <w:rPr>
        <w:rFonts w:ascii="Cambria" w:hAnsi="Cambria"/>
        <w:noProof/>
        <w:color w:val="1F497D" w:themeColor="text2"/>
        <w:sz w:val="22"/>
        <w:szCs w:val="22"/>
        <w:lang w:eastAsia="en-GB"/>
      </w:rPr>
      <w:drawing>
        <wp:anchor distT="0" distB="0" distL="0" distR="0" simplePos="0" relativeHeight="251657216" behindDoc="1" locked="0" layoutInCell="1" allowOverlap="1" wp14:anchorId="0153A2B6" wp14:editId="0095C91B">
          <wp:simplePos x="0" y="0"/>
          <wp:positionH relativeFrom="page">
            <wp:align>left</wp:align>
          </wp:positionH>
          <wp:positionV relativeFrom="page">
            <wp:posOffset>0</wp:posOffset>
          </wp:positionV>
          <wp:extent cx="7558860" cy="10692129"/>
          <wp:effectExtent l="0" t="0" r="10795" b="190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Word2.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2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3F7E2D">
      <w:rPr>
        <w:rFonts w:ascii="Cambria" w:hAnsi="Cambria"/>
        <w:noProof/>
        <w:color w:val="1F497D" w:themeColor="text2"/>
        <w:sz w:val="22"/>
        <w:szCs w:val="22"/>
        <w:lang w:val="fr-BE" w:eastAsia="fr-BE"/>
      </w:rPr>
      <w:t>06 March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A6438" w14:textId="77777777" w:rsidR="00175B5E" w:rsidRDefault="00175B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04274"/>
    <w:multiLevelType w:val="hybridMultilevel"/>
    <w:tmpl w:val="BA5CFC5E"/>
    <w:lvl w:ilvl="0" w:tplc="42760DDC">
      <w:start w:val="1"/>
      <w:numFmt w:val="bullet"/>
      <w:lvlText w:val=""/>
      <w:lvlJc w:val="left"/>
      <w:pPr>
        <w:ind w:left="720" w:hanging="360"/>
      </w:pPr>
      <w:rPr>
        <w:rFonts w:ascii="Wingdings" w:hAnsi="Wingdings"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7C584A"/>
    <w:multiLevelType w:val="hybridMultilevel"/>
    <w:tmpl w:val="A03E063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5354EC9"/>
    <w:multiLevelType w:val="hybridMultilevel"/>
    <w:tmpl w:val="0CCEBC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74910FB"/>
    <w:multiLevelType w:val="hybridMultilevel"/>
    <w:tmpl w:val="ECB4701C"/>
    <w:lvl w:ilvl="0" w:tplc="28AEDF74">
      <w:start w:val="16"/>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8AE126E"/>
    <w:multiLevelType w:val="hybridMultilevel"/>
    <w:tmpl w:val="F28A1FA2"/>
    <w:lvl w:ilvl="0" w:tplc="2C3430EA">
      <w:start w:val="16"/>
      <w:numFmt w:val="bullet"/>
      <w:lvlText w:val=""/>
      <w:lvlJc w:val="left"/>
      <w:pPr>
        <w:ind w:left="720" w:hanging="360"/>
      </w:pPr>
      <w:rPr>
        <w:rFonts w:ascii="Wingdings" w:eastAsiaTheme="minorHAnsi"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715403"/>
    <w:multiLevelType w:val="hybridMultilevel"/>
    <w:tmpl w:val="4DA2B4F2"/>
    <w:lvl w:ilvl="0" w:tplc="4114045A">
      <w:start w:val="6"/>
      <w:numFmt w:val="bullet"/>
      <w:lvlText w:val="-"/>
      <w:lvlJc w:val="left"/>
      <w:pPr>
        <w:ind w:left="720" w:hanging="360"/>
      </w:pPr>
      <w:rPr>
        <w:rFonts w:ascii="Cambria" w:eastAsia="Times New Roman"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5EB37C4"/>
    <w:multiLevelType w:val="hybridMultilevel"/>
    <w:tmpl w:val="67F20A40"/>
    <w:lvl w:ilvl="0" w:tplc="2F9A854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AE52942"/>
    <w:multiLevelType w:val="hybridMultilevel"/>
    <w:tmpl w:val="7BF0071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3DA05CE6"/>
    <w:multiLevelType w:val="hybridMultilevel"/>
    <w:tmpl w:val="59D012D6"/>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2558B8"/>
    <w:multiLevelType w:val="multilevel"/>
    <w:tmpl w:val="A3E4CD6C"/>
    <w:lvl w:ilvl="0">
      <w:start w:val="4"/>
      <w:numFmt w:val="decimal"/>
      <w:lvlText w:val="%1."/>
      <w:lvlJc w:val="left"/>
      <w:pPr>
        <w:ind w:left="360" w:hanging="36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902EC6"/>
    <w:multiLevelType w:val="multilevel"/>
    <w:tmpl w:val="D4B6F89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18526BF"/>
    <w:multiLevelType w:val="multilevel"/>
    <w:tmpl w:val="28FA51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FB5075"/>
    <w:multiLevelType w:val="multilevel"/>
    <w:tmpl w:val="7278D9A6"/>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9490370"/>
    <w:multiLevelType w:val="hybridMultilevel"/>
    <w:tmpl w:val="25188CEA"/>
    <w:lvl w:ilvl="0" w:tplc="A560CD5E">
      <w:start w:val="2"/>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98A4E46"/>
    <w:multiLevelType w:val="multilevel"/>
    <w:tmpl w:val="22C64A88"/>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0C0C5A"/>
    <w:multiLevelType w:val="hybridMultilevel"/>
    <w:tmpl w:val="ED264E26"/>
    <w:lvl w:ilvl="0" w:tplc="BBDC91A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70B80255"/>
    <w:multiLevelType w:val="hybridMultilevel"/>
    <w:tmpl w:val="4F2474B0"/>
    <w:lvl w:ilvl="0" w:tplc="42760DDC">
      <w:start w:val="1"/>
      <w:numFmt w:val="bullet"/>
      <w:lvlText w:val=""/>
      <w:lvlJc w:val="left"/>
      <w:pPr>
        <w:ind w:left="360" w:hanging="360"/>
      </w:pPr>
      <w:rPr>
        <w:rFonts w:ascii="Wingdings" w:hAnsi="Wingdings"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D9D3DAE"/>
    <w:multiLevelType w:val="hybridMultilevel"/>
    <w:tmpl w:val="DA548638"/>
    <w:lvl w:ilvl="0" w:tplc="7B8E7E3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17"/>
  </w:num>
  <w:num w:numId="3">
    <w:abstractNumId w:val="13"/>
  </w:num>
  <w:num w:numId="4">
    <w:abstractNumId w:val="1"/>
  </w:num>
  <w:num w:numId="5">
    <w:abstractNumId w:val="15"/>
  </w:num>
  <w:num w:numId="6">
    <w:abstractNumId w:val="7"/>
  </w:num>
  <w:num w:numId="7">
    <w:abstractNumId w:val="10"/>
  </w:num>
  <w:num w:numId="8">
    <w:abstractNumId w:val="12"/>
  </w:num>
  <w:num w:numId="9">
    <w:abstractNumId w:val="9"/>
  </w:num>
  <w:num w:numId="10">
    <w:abstractNumId w:val="14"/>
  </w:num>
  <w:num w:numId="11">
    <w:abstractNumId w:val="11"/>
  </w:num>
  <w:num w:numId="12">
    <w:abstractNumId w:val="2"/>
  </w:num>
  <w:num w:numId="13">
    <w:abstractNumId w:val="4"/>
  </w:num>
  <w:num w:numId="14">
    <w:abstractNumId w:val="3"/>
  </w:num>
  <w:num w:numId="15">
    <w:abstractNumId w:val="5"/>
  </w:num>
  <w:num w:numId="16">
    <w:abstractNumId w:val="6"/>
  </w:num>
  <w:num w:numId="17">
    <w:abstractNumId w:val="16"/>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2AA"/>
    <w:rsid w:val="00000DFC"/>
    <w:rsid w:val="00004C20"/>
    <w:rsid w:val="0003159E"/>
    <w:rsid w:val="000477DD"/>
    <w:rsid w:val="00060571"/>
    <w:rsid w:val="00060CE5"/>
    <w:rsid w:val="000632ED"/>
    <w:rsid w:val="000779D7"/>
    <w:rsid w:val="00080D95"/>
    <w:rsid w:val="000912B1"/>
    <w:rsid w:val="000A0902"/>
    <w:rsid w:val="000A77A5"/>
    <w:rsid w:val="000B4DA2"/>
    <w:rsid w:val="000C2913"/>
    <w:rsid w:val="000C585B"/>
    <w:rsid w:val="000D3ADA"/>
    <w:rsid w:val="001035EE"/>
    <w:rsid w:val="00103B26"/>
    <w:rsid w:val="00105ED0"/>
    <w:rsid w:val="00124387"/>
    <w:rsid w:val="001263E6"/>
    <w:rsid w:val="001434B6"/>
    <w:rsid w:val="00167043"/>
    <w:rsid w:val="00175B5E"/>
    <w:rsid w:val="00176FE2"/>
    <w:rsid w:val="00181867"/>
    <w:rsid w:val="001822BC"/>
    <w:rsid w:val="001837AB"/>
    <w:rsid w:val="00187B39"/>
    <w:rsid w:val="001B027B"/>
    <w:rsid w:val="001B72AF"/>
    <w:rsid w:val="001C4F9E"/>
    <w:rsid w:val="00200C57"/>
    <w:rsid w:val="0020174C"/>
    <w:rsid w:val="0020288D"/>
    <w:rsid w:val="002049DA"/>
    <w:rsid w:val="00210325"/>
    <w:rsid w:val="00224DA1"/>
    <w:rsid w:val="00226539"/>
    <w:rsid w:val="00234BBD"/>
    <w:rsid w:val="00241067"/>
    <w:rsid w:val="00241505"/>
    <w:rsid w:val="00246016"/>
    <w:rsid w:val="00251013"/>
    <w:rsid w:val="00255BBF"/>
    <w:rsid w:val="002667CC"/>
    <w:rsid w:val="002715DD"/>
    <w:rsid w:val="00284625"/>
    <w:rsid w:val="00291B40"/>
    <w:rsid w:val="00295DB3"/>
    <w:rsid w:val="002A2AEE"/>
    <w:rsid w:val="002C4D8C"/>
    <w:rsid w:val="002C50D4"/>
    <w:rsid w:val="002D5ECA"/>
    <w:rsid w:val="002F3E32"/>
    <w:rsid w:val="00304864"/>
    <w:rsid w:val="003065EA"/>
    <w:rsid w:val="003257C1"/>
    <w:rsid w:val="003370D6"/>
    <w:rsid w:val="003435B9"/>
    <w:rsid w:val="00365CAC"/>
    <w:rsid w:val="0036603C"/>
    <w:rsid w:val="0036712A"/>
    <w:rsid w:val="003749D7"/>
    <w:rsid w:val="003805D9"/>
    <w:rsid w:val="003818B6"/>
    <w:rsid w:val="00385B71"/>
    <w:rsid w:val="0039722A"/>
    <w:rsid w:val="00397992"/>
    <w:rsid w:val="003A5015"/>
    <w:rsid w:val="003B7135"/>
    <w:rsid w:val="003F5A91"/>
    <w:rsid w:val="003F7E2D"/>
    <w:rsid w:val="003F7E5B"/>
    <w:rsid w:val="00410278"/>
    <w:rsid w:val="00422F88"/>
    <w:rsid w:val="00426643"/>
    <w:rsid w:val="00426A8B"/>
    <w:rsid w:val="004406D9"/>
    <w:rsid w:val="004624D3"/>
    <w:rsid w:val="00470C49"/>
    <w:rsid w:val="00487FCC"/>
    <w:rsid w:val="00494E75"/>
    <w:rsid w:val="004B2A6A"/>
    <w:rsid w:val="004D1B5D"/>
    <w:rsid w:val="004D2DCC"/>
    <w:rsid w:val="004E1F7C"/>
    <w:rsid w:val="004F0858"/>
    <w:rsid w:val="004F38BD"/>
    <w:rsid w:val="004F5F8E"/>
    <w:rsid w:val="00511B00"/>
    <w:rsid w:val="00520929"/>
    <w:rsid w:val="00522A77"/>
    <w:rsid w:val="0053481B"/>
    <w:rsid w:val="005450CD"/>
    <w:rsid w:val="00550A16"/>
    <w:rsid w:val="00564E69"/>
    <w:rsid w:val="005656D2"/>
    <w:rsid w:val="00583682"/>
    <w:rsid w:val="00587E70"/>
    <w:rsid w:val="005B0C58"/>
    <w:rsid w:val="005D0BB9"/>
    <w:rsid w:val="005D4873"/>
    <w:rsid w:val="005E091F"/>
    <w:rsid w:val="005E4908"/>
    <w:rsid w:val="005E6523"/>
    <w:rsid w:val="006028CB"/>
    <w:rsid w:val="00614EAC"/>
    <w:rsid w:val="00621FBE"/>
    <w:rsid w:val="00625979"/>
    <w:rsid w:val="00635FC3"/>
    <w:rsid w:val="00646CB1"/>
    <w:rsid w:val="00650C3D"/>
    <w:rsid w:val="006535E8"/>
    <w:rsid w:val="006554DE"/>
    <w:rsid w:val="0065666A"/>
    <w:rsid w:val="0065689B"/>
    <w:rsid w:val="006606AD"/>
    <w:rsid w:val="0067361D"/>
    <w:rsid w:val="006A20C4"/>
    <w:rsid w:val="006D01AD"/>
    <w:rsid w:val="006E60B2"/>
    <w:rsid w:val="006F3899"/>
    <w:rsid w:val="006F456C"/>
    <w:rsid w:val="00700FB6"/>
    <w:rsid w:val="00706EF1"/>
    <w:rsid w:val="00754C08"/>
    <w:rsid w:val="00754CF6"/>
    <w:rsid w:val="00757529"/>
    <w:rsid w:val="00761867"/>
    <w:rsid w:val="00781E89"/>
    <w:rsid w:val="00791187"/>
    <w:rsid w:val="007A6865"/>
    <w:rsid w:val="007B48C2"/>
    <w:rsid w:val="007B5DAF"/>
    <w:rsid w:val="007C457C"/>
    <w:rsid w:val="007C7196"/>
    <w:rsid w:val="007D3497"/>
    <w:rsid w:val="008150A6"/>
    <w:rsid w:val="008173A0"/>
    <w:rsid w:val="008245F7"/>
    <w:rsid w:val="00830D89"/>
    <w:rsid w:val="0084726B"/>
    <w:rsid w:val="008611A7"/>
    <w:rsid w:val="0087434D"/>
    <w:rsid w:val="00882BDC"/>
    <w:rsid w:val="00882FEA"/>
    <w:rsid w:val="008902C8"/>
    <w:rsid w:val="00895817"/>
    <w:rsid w:val="008C0B25"/>
    <w:rsid w:val="008C446B"/>
    <w:rsid w:val="008D3383"/>
    <w:rsid w:val="008D4D47"/>
    <w:rsid w:val="008D65FB"/>
    <w:rsid w:val="008D6B26"/>
    <w:rsid w:val="008F670E"/>
    <w:rsid w:val="009024B2"/>
    <w:rsid w:val="009130FE"/>
    <w:rsid w:val="00920285"/>
    <w:rsid w:val="00924FB5"/>
    <w:rsid w:val="0092532F"/>
    <w:rsid w:val="0094107A"/>
    <w:rsid w:val="009419EE"/>
    <w:rsid w:val="009443F1"/>
    <w:rsid w:val="0094598F"/>
    <w:rsid w:val="009627DD"/>
    <w:rsid w:val="00962A53"/>
    <w:rsid w:val="009637D7"/>
    <w:rsid w:val="00973858"/>
    <w:rsid w:val="009859C2"/>
    <w:rsid w:val="00987411"/>
    <w:rsid w:val="00993806"/>
    <w:rsid w:val="00996458"/>
    <w:rsid w:val="009A153E"/>
    <w:rsid w:val="009A1B73"/>
    <w:rsid w:val="009A6CB0"/>
    <w:rsid w:val="009C2114"/>
    <w:rsid w:val="009C4AC4"/>
    <w:rsid w:val="009E05E0"/>
    <w:rsid w:val="009E61F9"/>
    <w:rsid w:val="009E6ED0"/>
    <w:rsid w:val="009F0E6B"/>
    <w:rsid w:val="00A01469"/>
    <w:rsid w:val="00A014C3"/>
    <w:rsid w:val="00A31691"/>
    <w:rsid w:val="00A3170E"/>
    <w:rsid w:val="00A3423F"/>
    <w:rsid w:val="00A456E3"/>
    <w:rsid w:val="00A55F12"/>
    <w:rsid w:val="00A65C6B"/>
    <w:rsid w:val="00A7147B"/>
    <w:rsid w:val="00A7190D"/>
    <w:rsid w:val="00A8185C"/>
    <w:rsid w:val="00A87F28"/>
    <w:rsid w:val="00A912AD"/>
    <w:rsid w:val="00A94806"/>
    <w:rsid w:val="00AA145F"/>
    <w:rsid w:val="00AA6075"/>
    <w:rsid w:val="00AB12E9"/>
    <w:rsid w:val="00AC0091"/>
    <w:rsid w:val="00AC0263"/>
    <w:rsid w:val="00AD087C"/>
    <w:rsid w:val="00AF1377"/>
    <w:rsid w:val="00B0283C"/>
    <w:rsid w:val="00B152D5"/>
    <w:rsid w:val="00B20805"/>
    <w:rsid w:val="00B320E7"/>
    <w:rsid w:val="00B3512D"/>
    <w:rsid w:val="00B35BAD"/>
    <w:rsid w:val="00B4019D"/>
    <w:rsid w:val="00B4693A"/>
    <w:rsid w:val="00B56B27"/>
    <w:rsid w:val="00B574E1"/>
    <w:rsid w:val="00B611FD"/>
    <w:rsid w:val="00B6171F"/>
    <w:rsid w:val="00B66A2C"/>
    <w:rsid w:val="00B732AA"/>
    <w:rsid w:val="00B7707F"/>
    <w:rsid w:val="00B94020"/>
    <w:rsid w:val="00BA1FE7"/>
    <w:rsid w:val="00BA5D68"/>
    <w:rsid w:val="00BB7F3B"/>
    <w:rsid w:val="00BC329A"/>
    <w:rsid w:val="00BE09B4"/>
    <w:rsid w:val="00BE38CC"/>
    <w:rsid w:val="00BE6A05"/>
    <w:rsid w:val="00BF2100"/>
    <w:rsid w:val="00BF6C3B"/>
    <w:rsid w:val="00C03CD2"/>
    <w:rsid w:val="00C05B01"/>
    <w:rsid w:val="00C116A3"/>
    <w:rsid w:val="00C12385"/>
    <w:rsid w:val="00C2159F"/>
    <w:rsid w:val="00C2541C"/>
    <w:rsid w:val="00C623E1"/>
    <w:rsid w:val="00C71CA4"/>
    <w:rsid w:val="00C75144"/>
    <w:rsid w:val="00C90701"/>
    <w:rsid w:val="00C95DFF"/>
    <w:rsid w:val="00C97C8D"/>
    <w:rsid w:val="00CA4871"/>
    <w:rsid w:val="00CA6BA5"/>
    <w:rsid w:val="00CB1216"/>
    <w:rsid w:val="00CB6339"/>
    <w:rsid w:val="00CC06B9"/>
    <w:rsid w:val="00CC6248"/>
    <w:rsid w:val="00CD05B3"/>
    <w:rsid w:val="00CE031F"/>
    <w:rsid w:val="00D00E00"/>
    <w:rsid w:val="00D01391"/>
    <w:rsid w:val="00D054CC"/>
    <w:rsid w:val="00D1358C"/>
    <w:rsid w:val="00D3282C"/>
    <w:rsid w:val="00D37769"/>
    <w:rsid w:val="00D409B0"/>
    <w:rsid w:val="00D4372A"/>
    <w:rsid w:val="00D61C34"/>
    <w:rsid w:val="00D712C4"/>
    <w:rsid w:val="00D74CD2"/>
    <w:rsid w:val="00D76861"/>
    <w:rsid w:val="00D8440A"/>
    <w:rsid w:val="00D87AE1"/>
    <w:rsid w:val="00D964F7"/>
    <w:rsid w:val="00DA416B"/>
    <w:rsid w:val="00DA5E18"/>
    <w:rsid w:val="00DB2A8B"/>
    <w:rsid w:val="00DB5B21"/>
    <w:rsid w:val="00DB6B1A"/>
    <w:rsid w:val="00DB7061"/>
    <w:rsid w:val="00DC1BBE"/>
    <w:rsid w:val="00DD2405"/>
    <w:rsid w:val="00DE2D24"/>
    <w:rsid w:val="00DF1CCE"/>
    <w:rsid w:val="00DF774F"/>
    <w:rsid w:val="00E00B61"/>
    <w:rsid w:val="00E0340C"/>
    <w:rsid w:val="00E06568"/>
    <w:rsid w:val="00E10EA5"/>
    <w:rsid w:val="00E1586A"/>
    <w:rsid w:val="00E25A1C"/>
    <w:rsid w:val="00E313E8"/>
    <w:rsid w:val="00E51B61"/>
    <w:rsid w:val="00E56A0D"/>
    <w:rsid w:val="00E61B3B"/>
    <w:rsid w:val="00E66B97"/>
    <w:rsid w:val="00E719EB"/>
    <w:rsid w:val="00E7551D"/>
    <w:rsid w:val="00E87249"/>
    <w:rsid w:val="00EA0A4D"/>
    <w:rsid w:val="00EA1D3C"/>
    <w:rsid w:val="00EA48EF"/>
    <w:rsid w:val="00EA761F"/>
    <w:rsid w:val="00EB0337"/>
    <w:rsid w:val="00EB3535"/>
    <w:rsid w:val="00EC0D1F"/>
    <w:rsid w:val="00EC1F32"/>
    <w:rsid w:val="00ED2E59"/>
    <w:rsid w:val="00ED5631"/>
    <w:rsid w:val="00F016D8"/>
    <w:rsid w:val="00F15AE5"/>
    <w:rsid w:val="00F16C60"/>
    <w:rsid w:val="00F31835"/>
    <w:rsid w:val="00F33D09"/>
    <w:rsid w:val="00F36650"/>
    <w:rsid w:val="00F402D0"/>
    <w:rsid w:val="00F52482"/>
    <w:rsid w:val="00F5415D"/>
    <w:rsid w:val="00F70286"/>
    <w:rsid w:val="00F70957"/>
    <w:rsid w:val="00F7097C"/>
    <w:rsid w:val="00F81D2E"/>
    <w:rsid w:val="00F8564F"/>
    <w:rsid w:val="00FC640E"/>
    <w:rsid w:val="00FE2817"/>
    <w:rsid w:val="00FF365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98D02D"/>
  <w15:docId w15:val="{394BEF45-63DC-4E5B-9664-C7947504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411"/>
    <w:rPr>
      <w:rFonts w:eastAsia="Times New Roman" w:cs="Times New Roman"/>
      <w:color w:val="002060"/>
      <w:sz w:val="20"/>
      <w:szCs w:val="20"/>
      <w:lang w:val="en-GB" w:eastAsia="en-US"/>
    </w:rPr>
  </w:style>
  <w:style w:type="paragraph" w:styleId="Heading1">
    <w:name w:val="heading 1"/>
    <w:basedOn w:val="Normal"/>
    <w:next w:val="Normal"/>
    <w:link w:val="Heading1Char"/>
    <w:uiPriority w:val="9"/>
    <w:qFormat/>
    <w:rsid w:val="00987411"/>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87411"/>
    <w:pPr>
      <w:keepNext/>
      <w:keepLines/>
      <w:spacing w:before="40" w:line="259" w:lineRule="auto"/>
      <w:outlineLvl w:val="1"/>
    </w:pPr>
    <w:rPr>
      <w:rFonts w:eastAsiaTheme="majorEastAsia" w:cstheme="majorBidi"/>
      <w:color w:val="365F91" w:themeColor="accent1" w:themeShade="BF"/>
      <w:sz w:val="26"/>
      <w:szCs w:val="26"/>
      <w:lang w:val="fr-BE"/>
    </w:rPr>
  </w:style>
  <w:style w:type="paragraph" w:styleId="Heading3">
    <w:name w:val="heading 3"/>
    <w:basedOn w:val="Normal"/>
    <w:next w:val="Normal"/>
    <w:link w:val="Heading3Char"/>
    <w:uiPriority w:val="9"/>
    <w:unhideWhenUsed/>
    <w:qFormat/>
    <w:rsid w:val="00987411"/>
    <w:pPr>
      <w:keepNext/>
      <w:keepLines/>
      <w:spacing w:before="4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87411"/>
    <w:pPr>
      <w:keepNext/>
      <w:keepLines/>
      <w:spacing w:before="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987411"/>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987411"/>
    <w:pPr>
      <w:keepNext/>
      <w:keepLines/>
      <w:spacing w:before="40"/>
      <w:outlineLvl w:val="5"/>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BE"/>
    <w:pPr>
      <w:tabs>
        <w:tab w:val="center" w:pos="4536"/>
        <w:tab w:val="right" w:pos="9072"/>
      </w:tabs>
    </w:pPr>
  </w:style>
  <w:style w:type="character" w:customStyle="1" w:styleId="HeaderChar">
    <w:name w:val="Header Char"/>
    <w:basedOn w:val="DefaultParagraphFont"/>
    <w:link w:val="Header"/>
    <w:uiPriority w:val="99"/>
    <w:rsid w:val="00DC1BBE"/>
  </w:style>
  <w:style w:type="paragraph" w:styleId="Footer">
    <w:name w:val="footer"/>
    <w:basedOn w:val="Normal"/>
    <w:link w:val="FooterChar"/>
    <w:uiPriority w:val="99"/>
    <w:unhideWhenUsed/>
    <w:rsid w:val="00DC1BBE"/>
    <w:pPr>
      <w:tabs>
        <w:tab w:val="center" w:pos="4536"/>
        <w:tab w:val="right" w:pos="9072"/>
      </w:tabs>
    </w:pPr>
  </w:style>
  <w:style w:type="character" w:customStyle="1" w:styleId="FooterChar">
    <w:name w:val="Footer Char"/>
    <w:basedOn w:val="DefaultParagraphFont"/>
    <w:link w:val="Footer"/>
    <w:uiPriority w:val="99"/>
    <w:rsid w:val="00DC1BBE"/>
  </w:style>
  <w:style w:type="character" w:customStyle="1" w:styleId="Heading1Char">
    <w:name w:val="Heading 1 Char"/>
    <w:basedOn w:val="DefaultParagraphFont"/>
    <w:link w:val="Heading1"/>
    <w:uiPriority w:val="9"/>
    <w:rsid w:val="00987411"/>
    <w:rPr>
      <w:rFonts w:eastAsiaTheme="majorEastAsia" w:cstheme="majorBidi"/>
      <w:b/>
      <w:bCs/>
      <w:color w:val="345A8A" w:themeColor="accent1" w:themeShade="B5"/>
      <w:sz w:val="32"/>
      <w:szCs w:val="32"/>
      <w:lang w:val="en-GB" w:eastAsia="en-US"/>
    </w:rPr>
  </w:style>
  <w:style w:type="paragraph" w:styleId="BalloonText">
    <w:name w:val="Balloon Text"/>
    <w:basedOn w:val="Normal"/>
    <w:link w:val="BalloonTextChar"/>
    <w:uiPriority w:val="99"/>
    <w:semiHidden/>
    <w:unhideWhenUsed/>
    <w:rsid w:val="0004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7DD"/>
    <w:rPr>
      <w:rFonts w:ascii="Lucida Grande" w:hAnsi="Lucida Grande" w:cs="Lucida Grande"/>
      <w:sz w:val="18"/>
      <w:szCs w:val="18"/>
    </w:rPr>
  </w:style>
  <w:style w:type="paragraph" w:styleId="ListParagraph">
    <w:name w:val="List Paragraph"/>
    <w:basedOn w:val="Normal"/>
    <w:uiPriority w:val="34"/>
    <w:qFormat/>
    <w:rsid w:val="00F5415D"/>
    <w:pPr>
      <w:ind w:left="720"/>
      <w:contextualSpacing/>
    </w:pPr>
  </w:style>
  <w:style w:type="character" w:styleId="Hyperlink">
    <w:name w:val="Hyperlink"/>
    <w:basedOn w:val="DefaultParagraphFont"/>
    <w:uiPriority w:val="99"/>
    <w:unhideWhenUsed/>
    <w:rsid w:val="005E4908"/>
    <w:rPr>
      <w:color w:val="0000FF" w:themeColor="hyperlink"/>
      <w:u w:val="single"/>
    </w:rPr>
  </w:style>
  <w:style w:type="character" w:styleId="FollowedHyperlink">
    <w:name w:val="FollowedHyperlink"/>
    <w:basedOn w:val="DefaultParagraphFont"/>
    <w:uiPriority w:val="99"/>
    <w:semiHidden/>
    <w:unhideWhenUsed/>
    <w:rsid w:val="005E4908"/>
    <w:rPr>
      <w:color w:val="800080" w:themeColor="followedHyperlink"/>
      <w:u w:val="single"/>
    </w:rPr>
  </w:style>
  <w:style w:type="paragraph" w:styleId="PlainText">
    <w:name w:val="Plain Text"/>
    <w:basedOn w:val="Normal"/>
    <w:link w:val="PlainTextChar"/>
    <w:uiPriority w:val="99"/>
    <w:unhideWhenUsed/>
    <w:rsid w:val="00246016"/>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246016"/>
    <w:rPr>
      <w:rFonts w:ascii="Calibri" w:eastAsiaTheme="minorHAnsi" w:hAnsi="Calibri" w:cs="Consolas"/>
      <w:sz w:val="22"/>
      <w:szCs w:val="21"/>
      <w:lang w:val="en-GB" w:eastAsia="en-US"/>
    </w:rPr>
  </w:style>
  <w:style w:type="paragraph" w:customStyle="1" w:styleId="Default">
    <w:name w:val="Default"/>
    <w:rsid w:val="00167043"/>
    <w:pPr>
      <w:autoSpaceDE w:val="0"/>
      <w:autoSpaceDN w:val="0"/>
      <w:adjustRightInd w:val="0"/>
    </w:pPr>
    <w:rPr>
      <w:rFonts w:ascii="Times New Roman" w:hAnsi="Times New Roman" w:cs="Times New Roman"/>
      <w:color w:val="000000"/>
      <w:lang w:val="sk-SK"/>
    </w:rPr>
  </w:style>
  <w:style w:type="paragraph" w:styleId="FootnoteText">
    <w:name w:val="footnote text"/>
    <w:basedOn w:val="Normal"/>
    <w:link w:val="FootnoteTextChar"/>
    <w:uiPriority w:val="99"/>
    <w:semiHidden/>
    <w:unhideWhenUsed/>
    <w:rsid w:val="00D3282C"/>
  </w:style>
  <w:style w:type="character" w:customStyle="1" w:styleId="FootnoteTextChar">
    <w:name w:val="Footnote Text Char"/>
    <w:basedOn w:val="DefaultParagraphFont"/>
    <w:link w:val="FootnoteText"/>
    <w:uiPriority w:val="99"/>
    <w:semiHidden/>
    <w:rsid w:val="00D3282C"/>
    <w:rPr>
      <w:rFonts w:ascii="Times New Roman" w:eastAsia="Times New Roman" w:hAnsi="Times New Roman" w:cs="Times New Roman"/>
      <w:sz w:val="20"/>
      <w:szCs w:val="20"/>
      <w:lang w:val="en-GB" w:eastAsia="en-US"/>
    </w:rPr>
  </w:style>
  <w:style w:type="character" w:styleId="FootnoteReference">
    <w:name w:val="footnote reference"/>
    <w:basedOn w:val="DefaultParagraphFont"/>
    <w:uiPriority w:val="99"/>
    <w:semiHidden/>
    <w:unhideWhenUsed/>
    <w:rsid w:val="00D3282C"/>
    <w:rPr>
      <w:vertAlign w:val="superscript"/>
    </w:rPr>
  </w:style>
  <w:style w:type="table" w:styleId="TableGrid">
    <w:name w:val="Table Grid"/>
    <w:basedOn w:val="TableNormal"/>
    <w:uiPriority w:val="59"/>
    <w:rsid w:val="00E3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87411"/>
    <w:rPr>
      <w:rFonts w:eastAsiaTheme="minorHAnsi"/>
      <w:sz w:val="22"/>
      <w:szCs w:val="22"/>
    </w:rPr>
  </w:style>
  <w:style w:type="paragraph" w:styleId="Title">
    <w:name w:val="Title"/>
    <w:basedOn w:val="Normal"/>
    <w:next w:val="Normal"/>
    <w:link w:val="TitleChar"/>
    <w:uiPriority w:val="10"/>
    <w:qFormat/>
    <w:rsid w:val="00987411"/>
    <w:pPr>
      <w:contextualSpacing/>
    </w:pPr>
    <w:rPr>
      <w:rFonts w:eastAsiaTheme="majorEastAsia" w:cstheme="majorBidi"/>
      <w:spacing w:val="-10"/>
      <w:kern w:val="28"/>
      <w:sz w:val="56"/>
      <w:szCs w:val="56"/>
      <w:lang w:val="fr-BE"/>
    </w:rPr>
  </w:style>
  <w:style w:type="character" w:customStyle="1" w:styleId="TitleChar">
    <w:name w:val="Title Char"/>
    <w:basedOn w:val="DefaultParagraphFont"/>
    <w:link w:val="Title"/>
    <w:uiPriority w:val="10"/>
    <w:rsid w:val="00987411"/>
    <w:rPr>
      <w:rFonts w:eastAsiaTheme="majorEastAsia" w:cstheme="majorBidi"/>
      <w:color w:val="002060"/>
      <w:spacing w:val="-10"/>
      <w:kern w:val="28"/>
      <w:sz w:val="56"/>
      <w:szCs w:val="56"/>
      <w:lang w:val="fr-BE" w:eastAsia="en-US"/>
    </w:rPr>
  </w:style>
  <w:style w:type="character" w:customStyle="1" w:styleId="Heading2Char">
    <w:name w:val="Heading 2 Char"/>
    <w:basedOn w:val="DefaultParagraphFont"/>
    <w:link w:val="Heading2"/>
    <w:uiPriority w:val="9"/>
    <w:rsid w:val="00987411"/>
    <w:rPr>
      <w:rFonts w:eastAsiaTheme="majorEastAsia" w:cstheme="majorBidi"/>
      <w:color w:val="365F91" w:themeColor="accent1" w:themeShade="BF"/>
      <w:sz w:val="26"/>
      <w:szCs w:val="26"/>
      <w:lang w:val="fr-BE" w:eastAsia="en-US"/>
    </w:rPr>
  </w:style>
  <w:style w:type="character" w:customStyle="1" w:styleId="Heading3Char">
    <w:name w:val="Heading 3 Char"/>
    <w:basedOn w:val="DefaultParagraphFont"/>
    <w:link w:val="Heading3"/>
    <w:uiPriority w:val="9"/>
    <w:rsid w:val="00987411"/>
    <w:rPr>
      <w:rFonts w:eastAsiaTheme="majorEastAsia" w:cstheme="majorBidi"/>
      <w:color w:val="243F60" w:themeColor="accent1" w:themeShade="7F"/>
      <w:lang w:val="en-GB" w:eastAsia="en-US"/>
    </w:rPr>
  </w:style>
  <w:style w:type="character" w:customStyle="1" w:styleId="Heading4Char">
    <w:name w:val="Heading 4 Char"/>
    <w:basedOn w:val="DefaultParagraphFont"/>
    <w:link w:val="Heading4"/>
    <w:uiPriority w:val="9"/>
    <w:rsid w:val="00987411"/>
    <w:rPr>
      <w:rFonts w:eastAsiaTheme="majorEastAsia" w:cstheme="majorBidi"/>
      <w:i/>
      <w:iCs/>
      <w:color w:val="365F91" w:themeColor="accent1" w:themeShade="BF"/>
      <w:sz w:val="20"/>
      <w:szCs w:val="20"/>
      <w:lang w:val="en-GB" w:eastAsia="en-US"/>
    </w:rPr>
  </w:style>
  <w:style w:type="character" w:customStyle="1" w:styleId="Heading5Char">
    <w:name w:val="Heading 5 Char"/>
    <w:basedOn w:val="DefaultParagraphFont"/>
    <w:link w:val="Heading5"/>
    <w:uiPriority w:val="9"/>
    <w:rsid w:val="00987411"/>
    <w:rPr>
      <w:rFonts w:eastAsiaTheme="majorEastAsia" w:cstheme="majorBidi"/>
      <w:color w:val="365F91" w:themeColor="accent1" w:themeShade="BF"/>
      <w:sz w:val="20"/>
      <w:szCs w:val="20"/>
      <w:lang w:val="en-GB" w:eastAsia="en-US"/>
    </w:rPr>
  </w:style>
  <w:style w:type="character" w:customStyle="1" w:styleId="Heading6Char">
    <w:name w:val="Heading 6 Char"/>
    <w:basedOn w:val="DefaultParagraphFont"/>
    <w:link w:val="Heading6"/>
    <w:uiPriority w:val="9"/>
    <w:rsid w:val="00987411"/>
    <w:rPr>
      <w:rFonts w:eastAsiaTheme="majorEastAsia" w:cstheme="majorBidi"/>
      <w:color w:val="243F60" w:themeColor="accent1" w:themeShade="7F"/>
      <w:sz w:val="20"/>
      <w:szCs w:val="20"/>
      <w:lang w:val="en-GB" w:eastAsia="en-US"/>
    </w:rPr>
  </w:style>
  <w:style w:type="paragraph" w:styleId="Subtitle">
    <w:name w:val="Subtitle"/>
    <w:basedOn w:val="Normal"/>
    <w:next w:val="Normal"/>
    <w:link w:val="SubtitleChar"/>
    <w:uiPriority w:val="11"/>
    <w:qFormat/>
    <w:rsid w:val="00987411"/>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87411"/>
    <w:rPr>
      <w:color w:val="5A5A5A" w:themeColor="text1" w:themeTint="A5"/>
      <w:spacing w:val="15"/>
      <w:sz w:val="22"/>
      <w:szCs w:val="22"/>
      <w:lang w:val="en-GB" w:eastAsia="en-US"/>
    </w:rPr>
  </w:style>
  <w:style w:type="paragraph" w:styleId="TOCHeading">
    <w:name w:val="TOC Heading"/>
    <w:basedOn w:val="Heading1"/>
    <w:next w:val="Normal"/>
    <w:uiPriority w:val="39"/>
    <w:unhideWhenUsed/>
    <w:qFormat/>
    <w:rsid w:val="007C7196"/>
    <w:pPr>
      <w:spacing w:before="240" w:line="259" w:lineRule="auto"/>
      <w:outlineLvl w:val="9"/>
    </w:pPr>
    <w:rPr>
      <w:rFonts w:asciiTheme="majorHAnsi" w:hAnsiTheme="majorHAnsi"/>
      <w:b w:val="0"/>
      <w:bCs w:val="0"/>
      <w:color w:val="365F91" w:themeColor="accent1" w:themeShade="BF"/>
      <w:lang w:val="en-US"/>
    </w:rPr>
  </w:style>
  <w:style w:type="paragraph" w:styleId="TOC1">
    <w:name w:val="toc 1"/>
    <w:basedOn w:val="Normal"/>
    <w:next w:val="Normal"/>
    <w:autoRedefine/>
    <w:uiPriority w:val="39"/>
    <w:unhideWhenUsed/>
    <w:rsid w:val="007C7196"/>
    <w:pPr>
      <w:spacing w:after="100" w:line="259" w:lineRule="auto"/>
    </w:pPr>
    <w:rPr>
      <w:rFonts w:eastAsiaTheme="minorHAnsi" w:cstheme="minorBidi"/>
      <w:color w:val="auto"/>
      <w:sz w:val="22"/>
      <w:szCs w:val="22"/>
      <w:lang w:val="fr-BE"/>
    </w:rPr>
  </w:style>
  <w:style w:type="paragraph" w:styleId="TOC2">
    <w:name w:val="toc 2"/>
    <w:basedOn w:val="Normal"/>
    <w:next w:val="Normal"/>
    <w:autoRedefine/>
    <w:uiPriority w:val="39"/>
    <w:unhideWhenUsed/>
    <w:rsid w:val="007C7196"/>
    <w:pPr>
      <w:spacing w:after="100" w:line="259" w:lineRule="auto"/>
      <w:ind w:left="220"/>
    </w:pPr>
    <w:rPr>
      <w:rFonts w:eastAsiaTheme="minorHAnsi" w:cstheme="minorBidi"/>
      <w:color w:val="auto"/>
      <w:sz w:val="22"/>
      <w:szCs w:val="22"/>
      <w:lang w:val="fr-BE"/>
    </w:rPr>
  </w:style>
  <w:style w:type="paragraph" w:styleId="TOC3">
    <w:name w:val="toc 3"/>
    <w:basedOn w:val="Normal"/>
    <w:next w:val="Normal"/>
    <w:autoRedefine/>
    <w:uiPriority w:val="39"/>
    <w:unhideWhenUsed/>
    <w:rsid w:val="007C7196"/>
    <w:pPr>
      <w:spacing w:after="100" w:line="259" w:lineRule="auto"/>
      <w:ind w:left="440"/>
    </w:pPr>
    <w:rPr>
      <w:rFonts w:eastAsiaTheme="minorHAnsi" w:cstheme="minorBidi"/>
      <w:color w:val="auto"/>
      <w:sz w:val="22"/>
      <w:szCs w:val="22"/>
      <w:lang w:val="fr-BE"/>
    </w:rPr>
  </w:style>
  <w:style w:type="character" w:styleId="CommentReference">
    <w:name w:val="annotation reference"/>
    <w:basedOn w:val="DefaultParagraphFont"/>
    <w:uiPriority w:val="99"/>
    <w:semiHidden/>
    <w:unhideWhenUsed/>
    <w:rsid w:val="007C7196"/>
    <w:rPr>
      <w:sz w:val="16"/>
      <w:szCs w:val="16"/>
    </w:rPr>
  </w:style>
  <w:style w:type="paragraph" w:styleId="CommentText">
    <w:name w:val="annotation text"/>
    <w:basedOn w:val="Normal"/>
    <w:link w:val="CommentTextChar"/>
    <w:uiPriority w:val="99"/>
    <w:semiHidden/>
    <w:unhideWhenUsed/>
    <w:rsid w:val="007C7196"/>
    <w:rPr>
      <w:rFonts w:ascii="Times New Roman" w:hAnsi="Times New Roman"/>
      <w:color w:val="auto"/>
    </w:rPr>
  </w:style>
  <w:style w:type="character" w:customStyle="1" w:styleId="CommentTextChar">
    <w:name w:val="Comment Text Char"/>
    <w:basedOn w:val="DefaultParagraphFont"/>
    <w:link w:val="CommentText"/>
    <w:uiPriority w:val="99"/>
    <w:semiHidden/>
    <w:rsid w:val="007C7196"/>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7C7196"/>
    <w:rPr>
      <w:b/>
      <w:bCs/>
    </w:rPr>
  </w:style>
  <w:style w:type="character" w:customStyle="1" w:styleId="CommentSubjectChar">
    <w:name w:val="Comment Subject Char"/>
    <w:basedOn w:val="CommentTextChar"/>
    <w:link w:val="CommentSubject"/>
    <w:uiPriority w:val="99"/>
    <w:semiHidden/>
    <w:rsid w:val="007C7196"/>
    <w:rPr>
      <w:rFonts w:ascii="Times New Roman" w:eastAsia="Times New Roman" w:hAnsi="Times New Roman"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39892">
      <w:bodyDiv w:val="1"/>
      <w:marLeft w:val="0"/>
      <w:marRight w:val="0"/>
      <w:marTop w:val="0"/>
      <w:marBottom w:val="0"/>
      <w:divBdr>
        <w:top w:val="none" w:sz="0" w:space="0" w:color="auto"/>
        <w:left w:val="none" w:sz="0" w:space="0" w:color="auto"/>
        <w:bottom w:val="none" w:sz="0" w:space="0" w:color="auto"/>
        <w:right w:val="none" w:sz="0" w:space="0" w:color="auto"/>
      </w:divBdr>
    </w:div>
    <w:div w:id="277445494">
      <w:bodyDiv w:val="1"/>
      <w:marLeft w:val="0"/>
      <w:marRight w:val="0"/>
      <w:marTop w:val="0"/>
      <w:marBottom w:val="0"/>
      <w:divBdr>
        <w:top w:val="none" w:sz="0" w:space="0" w:color="auto"/>
        <w:left w:val="none" w:sz="0" w:space="0" w:color="auto"/>
        <w:bottom w:val="none" w:sz="0" w:space="0" w:color="auto"/>
        <w:right w:val="none" w:sz="0" w:space="0" w:color="auto"/>
      </w:divBdr>
    </w:div>
    <w:div w:id="460853012">
      <w:bodyDiv w:val="1"/>
      <w:marLeft w:val="0"/>
      <w:marRight w:val="0"/>
      <w:marTop w:val="0"/>
      <w:marBottom w:val="0"/>
      <w:divBdr>
        <w:top w:val="none" w:sz="0" w:space="0" w:color="auto"/>
        <w:left w:val="none" w:sz="0" w:space="0" w:color="auto"/>
        <w:bottom w:val="none" w:sz="0" w:space="0" w:color="auto"/>
        <w:right w:val="none" w:sz="0" w:space="0" w:color="auto"/>
      </w:divBdr>
    </w:div>
    <w:div w:id="485629072">
      <w:bodyDiv w:val="1"/>
      <w:marLeft w:val="0"/>
      <w:marRight w:val="0"/>
      <w:marTop w:val="0"/>
      <w:marBottom w:val="0"/>
      <w:divBdr>
        <w:top w:val="none" w:sz="0" w:space="0" w:color="auto"/>
        <w:left w:val="none" w:sz="0" w:space="0" w:color="auto"/>
        <w:bottom w:val="none" w:sz="0" w:space="0" w:color="auto"/>
        <w:right w:val="none" w:sz="0" w:space="0" w:color="auto"/>
      </w:divBdr>
    </w:div>
    <w:div w:id="640427011">
      <w:bodyDiv w:val="1"/>
      <w:marLeft w:val="0"/>
      <w:marRight w:val="0"/>
      <w:marTop w:val="0"/>
      <w:marBottom w:val="0"/>
      <w:divBdr>
        <w:top w:val="none" w:sz="0" w:space="0" w:color="auto"/>
        <w:left w:val="none" w:sz="0" w:space="0" w:color="auto"/>
        <w:bottom w:val="none" w:sz="0" w:space="0" w:color="auto"/>
        <w:right w:val="none" w:sz="0" w:space="0" w:color="auto"/>
      </w:divBdr>
      <w:divsChild>
        <w:div w:id="1389911131">
          <w:marLeft w:val="403"/>
          <w:marRight w:val="0"/>
          <w:marTop w:val="125"/>
          <w:marBottom w:val="0"/>
          <w:divBdr>
            <w:top w:val="none" w:sz="0" w:space="0" w:color="auto"/>
            <w:left w:val="none" w:sz="0" w:space="0" w:color="auto"/>
            <w:bottom w:val="none" w:sz="0" w:space="0" w:color="auto"/>
            <w:right w:val="none" w:sz="0" w:space="0" w:color="auto"/>
          </w:divBdr>
        </w:div>
      </w:divsChild>
    </w:div>
    <w:div w:id="916552389">
      <w:bodyDiv w:val="1"/>
      <w:marLeft w:val="0"/>
      <w:marRight w:val="0"/>
      <w:marTop w:val="0"/>
      <w:marBottom w:val="0"/>
      <w:divBdr>
        <w:top w:val="none" w:sz="0" w:space="0" w:color="auto"/>
        <w:left w:val="none" w:sz="0" w:space="0" w:color="auto"/>
        <w:bottom w:val="none" w:sz="0" w:space="0" w:color="auto"/>
        <w:right w:val="none" w:sz="0" w:space="0" w:color="auto"/>
      </w:divBdr>
    </w:div>
    <w:div w:id="997466923">
      <w:bodyDiv w:val="1"/>
      <w:marLeft w:val="0"/>
      <w:marRight w:val="0"/>
      <w:marTop w:val="0"/>
      <w:marBottom w:val="0"/>
      <w:divBdr>
        <w:top w:val="none" w:sz="0" w:space="0" w:color="auto"/>
        <w:left w:val="none" w:sz="0" w:space="0" w:color="auto"/>
        <w:bottom w:val="none" w:sz="0" w:space="0" w:color="auto"/>
        <w:right w:val="none" w:sz="0" w:space="0" w:color="auto"/>
      </w:divBdr>
    </w:div>
    <w:div w:id="1022128075">
      <w:bodyDiv w:val="1"/>
      <w:marLeft w:val="0"/>
      <w:marRight w:val="0"/>
      <w:marTop w:val="0"/>
      <w:marBottom w:val="0"/>
      <w:divBdr>
        <w:top w:val="none" w:sz="0" w:space="0" w:color="auto"/>
        <w:left w:val="none" w:sz="0" w:space="0" w:color="auto"/>
        <w:bottom w:val="none" w:sz="0" w:space="0" w:color="auto"/>
        <w:right w:val="none" w:sz="0" w:space="0" w:color="auto"/>
      </w:divBdr>
    </w:div>
    <w:div w:id="1172796901">
      <w:bodyDiv w:val="1"/>
      <w:marLeft w:val="0"/>
      <w:marRight w:val="0"/>
      <w:marTop w:val="0"/>
      <w:marBottom w:val="0"/>
      <w:divBdr>
        <w:top w:val="none" w:sz="0" w:space="0" w:color="auto"/>
        <w:left w:val="none" w:sz="0" w:space="0" w:color="auto"/>
        <w:bottom w:val="none" w:sz="0" w:space="0" w:color="auto"/>
        <w:right w:val="none" w:sz="0" w:space="0" w:color="auto"/>
      </w:divBdr>
    </w:div>
    <w:div w:id="1243756641">
      <w:bodyDiv w:val="1"/>
      <w:marLeft w:val="0"/>
      <w:marRight w:val="0"/>
      <w:marTop w:val="0"/>
      <w:marBottom w:val="0"/>
      <w:divBdr>
        <w:top w:val="none" w:sz="0" w:space="0" w:color="auto"/>
        <w:left w:val="none" w:sz="0" w:space="0" w:color="auto"/>
        <w:bottom w:val="none" w:sz="0" w:space="0" w:color="auto"/>
        <w:right w:val="none" w:sz="0" w:space="0" w:color="auto"/>
      </w:divBdr>
    </w:div>
    <w:div w:id="1291591574">
      <w:bodyDiv w:val="1"/>
      <w:marLeft w:val="0"/>
      <w:marRight w:val="0"/>
      <w:marTop w:val="0"/>
      <w:marBottom w:val="0"/>
      <w:divBdr>
        <w:top w:val="none" w:sz="0" w:space="0" w:color="auto"/>
        <w:left w:val="none" w:sz="0" w:space="0" w:color="auto"/>
        <w:bottom w:val="none" w:sz="0" w:space="0" w:color="auto"/>
        <w:right w:val="none" w:sz="0" w:space="0" w:color="auto"/>
      </w:divBdr>
    </w:div>
    <w:div w:id="1419861041">
      <w:bodyDiv w:val="1"/>
      <w:marLeft w:val="0"/>
      <w:marRight w:val="0"/>
      <w:marTop w:val="0"/>
      <w:marBottom w:val="0"/>
      <w:divBdr>
        <w:top w:val="none" w:sz="0" w:space="0" w:color="auto"/>
        <w:left w:val="none" w:sz="0" w:space="0" w:color="auto"/>
        <w:bottom w:val="none" w:sz="0" w:space="0" w:color="auto"/>
        <w:right w:val="none" w:sz="0" w:space="0" w:color="auto"/>
      </w:divBdr>
    </w:div>
    <w:div w:id="1438790481">
      <w:bodyDiv w:val="1"/>
      <w:marLeft w:val="0"/>
      <w:marRight w:val="0"/>
      <w:marTop w:val="0"/>
      <w:marBottom w:val="0"/>
      <w:divBdr>
        <w:top w:val="none" w:sz="0" w:space="0" w:color="auto"/>
        <w:left w:val="none" w:sz="0" w:space="0" w:color="auto"/>
        <w:bottom w:val="none" w:sz="0" w:space="0" w:color="auto"/>
        <w:right w:val="none" w:sz="0" w:space="0" w:color="auto"/>
      </w:divBdr>
    </w:div>
    <w:div w:id="1515150146">
      <w:bodyDiv w:val="1"/>
      <w:marLeft w:val="0"/>
      <w:marRight w:val="0"/>
      <w:marTop w:val="0"/>
      <w:marBottom w:val="0"/>
      <w:divBdr>
        <w:top w:val="none" w:sz="0" w:space="0" w:color="auto"/>
        <w:left w:val="none" w:sz="0" w:space="0" w:color="auto"/>
        <w:bottom w:val="none" w:sz="0" w:space="0" w:color="auto"/>
        <w:right w:val="none" w:sz="0" w:space="0" w:color="auto"/>
      </w:divBdr>
    </w:div>
    <w:div w:id="1738434270">
      <w:bodyDiv w:val="1"/>
      <w:marLeft w:val="0"/>
      <w:marRight w:val="0"/>
      <w:marTop w:val="0"/>
      <w:marBottom w:val="0"/>
      <w:divBdr>
        <w:top w:val="none" w:sz="0" w:space="0" w:color="auto"/>
        <w:left w:val="none" w:sz="0" w:space="0" w:color="auto"/>
        <w:bottom w:val="none" w:sz="0" w:space="0" w:color="auto"/>
        <w:right w:val="none" w:sz="0" w:space="0" w:color="auto"/>
      </w:divBdr>
    </w:div>
    <w:div w:id="1747993970">
      <w:bodyDiv w:val="1"/>
      <w:marLeft w:val="0"/>
      <w:marRight w:val="0"/>
      <w:marTop w:val="0"/>
      <w:marBottom w:val="0"/>
      <w:divBdr>
        <w:top w:val="none" w:sz="0" w:space="0" w:color="auto"/>
        <w:left w:val="none" w:sz="0" w:space="0" w:color="auto"/>
        <w:bottom w:val="none" w:sz="0" w:space="0" w:color="auto"/>
        <w:right w:val="none" w:sz="0" w:space="0" w:color="auto"/>
      </w:divBdr>
      <w:divsChild>
        <w:div w:id="313026813">
          <w:marLeft w:val="547"/>
          <w:marRight w:val="0"/>
          <w:marTop w:val="0"/>
          <w:marBottom w:val="0"/>
          <w:divBdr>
            <w:top w:val="none" w:sz="0" w:space="0" w:color="auto"/>
            <w:left w:val="none" w:sz="0" w:space="0" w:color="auto"/>
            <w:bottom w:val="none" w:sz="0" w:space="0" w:color="auto"/>
            <w:right w:val="none" w:sz="0" w:space="0" w:color="auto"/>
          </w:divBdr>
        </w:div>
      </w:divsChild>
    </w:div>
    <w:div w:id="1842743075">
      <w:bodyDiv w:val="1"/>
      <w:marLeft w:val="0"/>
      <w:marRight w:val="0"/>
      <w:marTop w:val="0"/>
      <w:marBottom w:val="0"/>
      <w:divBdr>
        <w:top w:val="none" w:sz="0" w:space="0" w:color="auto"/>
        <w:left w:val="none" w:sz="0" w:space="0" w:color="auto"/>
        <w:bottom w:val="none" w:sz="0" w:space="0" w:color="auto"/>
        <w:right w:val="none" w:sz="0" w:space="0" w:color="auto"/>
      </w:divBdr>
      <w:divsChild>
        <w:div w:id="207649460">
          <w:marLeft w:val="403"/>
          <w:marRight w:val="0"/>
          <w:marTop w:val="125"/>
          <w:marBottom w:val="0"/>
          <w:divBdr>
            <w:top w:val="none" w:sz="0" w:space="0" w:color="auto"/>
            <w:left w:val="none" w:sz="0" w:space="0" w:color="auto"/>
            <w:bottom w:val="none" w:sz="0" w:space="0" w:color="auto"/>
            <w:right w:val="none" w:sz="0" w:space="0" w:color="auto"/>
          </w:divBdr>
        </w:div>
      </w:divsChild>
    </w:div>
    <w:div w:id="1891573673">
      <w:bodyDiv w:val="1"/>
      <w:marLeft w:val="0"/>
      <w:marRight w:val="0"/>
      <w:marTop w:val="0"/>
      <w:marBottom w:val="0"/>
      <w:divBdr>
        <w:top w:val="none" w:sz="0" w:space="0" w:color="auto"/>
        <w:left w:val="none" w:sz="0" w:space="0" w:color="auto"/>
        <w:bottom w:val="none" w:sz="0" w:space="0" w:color="auto"/>
        <w:right w:val="none" w:sz="0" w:space="0" w:color="auto"/>
      </w:divBdr>
    </w:div>
    <w:div w:id="1898590963">
      <w:bodyDiv w:val="1"/>
      <w:marLeft w:val="0"/>
      <w:marRight w:val="0"/>
      <w:marTop w:val="0"/>
      <w:marBottom w:val="0"/>
      <w:divBdr>
        <w:top w:val="none" w:sz="0" w:space="0" w:color="auto"/>
        <w:left w:val="none" w:sz="0" w:space="0" w:color="auto"/>
        <w:bottom w:val="none" w:sz="0" w:space="0" w:color="auto"/>
        <w:right w:val="none" w:sz="0" w:space="0" w:color="auto"/>
      </w:divBdr>
    </w:div>
    <w:div w:id="1964312828">
      <w:bodyDiv w:val="1"/>
      <w:marLeft w:val="0"/>
      <w:marRight w:val="0"/>
      <w:marTop w:val="0"/>
      <w:marBottom w:val="0"/>
      <w:divBdr>
        <w:top w:val="none" w:sz="0" w:space="0" w:color="auto"/>
        <w:left w:val="none" w:sz="0" w:space="0" w:color="auto"/>
        <w:bottom w:val="none" w:sz="0" w:space="0" w:color="auto"/>
        <w:right w:val="none" w:sz="0" w:space="0" w:color="auto"/>
      </w:divBdr>
    </w:div>
    <w:div w:id="1967661598">
      <w:bodyDiv w:val="1"/>
      <w:marLeft w:val="0"/>
      <w:marRight w:val="0"/>
      <w:marTop w:val="0"/>
      <w:marBottom w:val="0"/>
      <w:divBdr>
        <w:top w:val="none" w:sz="0" w:space="0" w:color="auto"/>
        <w:left w:val="none" w:sz="0" w:space="0" w:color="auto"/>
        <w:bottom w:val="none" w:sz="0" w:space="0" w:color="auto"/>
        <w:right w:val="none" w:sz="0" w:space="0" w:color="auto"/>
      </w:divBdr>
    </w:div>
    <w:div w:id="2107186045">
      <w:bodyDiv w:val="1"/>
      <w:marLeft w:val="0"/>
      <w:marRight w:val="0"/>
      <w:marTop w:val="0"/>
      <w:marBottom w:val="0"/>
      <w:divBdr>
        <w:top w:val="none" w:sz="0" w:space="0" w:color="auto"/>
        <w:left w:val="none" w:sz="0" w:space="0" w:color="auto"/>
        <w:bottom w:val="none" w:sz="0" w:space="0" w:color="auto"/>
        <w:right w:val="none" w:sz="0" w:space="0" w:color="auto"/>
      </w:divBdr>
    </w:div>
    <w:div w:id="2116555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akise\Desktop\Communication\Template%20Documents\Word\EuRIC%20Templates\Modele%20Euric6.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DFAC-52B7-41C5-A518-AEC303C0F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Euric6.dotx</Template>
  <TotalTime>304</TotalTime>
  <Pages>2</Pages>
  <Words>726</Words>
  <Characters>3843</Characters>
  <Application>Microsoft Office Word</Application>
  <DocSecurity>0</DocSecurity>
  <Lines>66</Lines>
  <Paragraphs>10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Wysiswyg</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Katrakis</dc:creator>
  <cp:keywords/>
  <dc:description/>
  <cp:lastModifiedBy>Emmanuel Katrakis</cp:lastModifiedBy>
  <cp:revision>9</cp:revision>
  <cp:lastPrinted>2017-01-27T08:37:00Z</cp:lastPrinted>
  <dcterms:created xsi:type="dcterms:W3CDTF">2017-02-28T15:48:00Z</dcterms:created>
  <dcterms:modified xsi:type="dcterms:W3CDTF">2017-03-07T11:53:00Z</dcterms:modified>
</cp:coreProperties>
</file>