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78" w:rsidRDefault="00566478" w:rsidP="00566478">
      <w:pPr>
        <w:autoSpaceDE w:val="0"/>
        <w:autoSpaceDN w:val="0"/>
        <w:jc w:val="both"/>
        <w:rPr>
          <w:rFonts w:ascii="Cambria" w:hAnsi="Cambria"/>
          <w:b/>
          <w:bCs/>
          <w:color w:val="002060"/>
          <w:sz w:val="28"/>
          <w:szCs w:val="28"/>
          <w:lang w:eastAsia="fr-FR"/>
        </w:rPr>
      </w:pPr>
      <w:r>
        <w:rPr>
          <w:rFonts w:ascii="Cambria" w:hAnsi="Cambria"/>
          <w:b/>
          <w:bCs/>
          <w:color w:val="002060"/>
          <w:sz w:val="28"/>
          <w:szCs w:val="28"/>
          <w:lang w:eastAsia="fr-FR"/>
        </w:rPr>
        <w:t>Stanovisko EuRIC o podpoře komplexního mechanismu pro kritéria pro konec odpadu na úrovni EU a na úrovni jednotlivých států</w:t>
      </w:r>
    </w:p>
    <w:p w:rsidR="00566478" w:rsidRDefault="00566478" w:rsidP="00566478">
      <w:pPr>
        <w:autoSpaceDE w:val="0"/>
        <w:autoSpaceDN w:val="0"/>
        <w:jc w:val="both"/>
        <w:rPr>
          <w:rFonts w:ascii="Times New Roman" w:hAnsi="Times New Roman" w:cs="Times New Roman"/>
          <w:color w:val="002060"/>
          <w:sz w:val="24"/>
          <w:szCs w:val="24"/>
          <w:lang w:eastAsia="fr-FR"/>
        </w:rPr>
      </w:pPr>
      <w:r>
        <w:rPr>
          <w:color w:val="002060"/>
          <w:sz w:val="24"/>
          <w:szCs w:val="24"/>
          <w:lang w:eastAsia="fr-FR"/>
        </w:rPr>
        <w:t>Přeměna odpadu na nové zdroje, které se budou znovu zavádět do nových cyklů, je klíčovým základním kamenem okružní ekonomiky. Právní jistota, pokud jde o to, kdy odpad přestává být odpadem, pomáhá při přeměně odpadu na nové zdroje z mnoha důvodů:</w:t>
      </w:r>
    </w:p>
    <w:p w:rsidR="00566478" w:rsidRDefault="00566478" w:rsidP="00566478">
      <w:pPr>
        <w:pStyle w:val="Odstavecseseznamem"/>
        <w:numPr>
          <w:ilvl w:val="0"/>
          <w:numId w:val="1"/>
        </w:numPr>
        <w:autoSpaceDE w:val="0"/>
        <w:autoSpaceDN w:val="0"/>
        <w:jc w:val="both"/>
        <w:rPr>
          <w:color w:val="002060"/>
          <w:sz w:val="24"/>
          <w:szCs w:val="24"/>
          <w:lang w:eastAsia="fr-FR"/>
        </w:rPr>
      </w:pPr>
      <w:r>
        <w:rPr>
          <w:color w:val="002060"/>
          <w:sz w:val="24"/>
          <w:szCs w:val="24"/>
          <w:lang w:eastAsia="fr-FR"/>
        </w:rPr>
        <w:t>Za prvé, pokud jde o právní jistotu pro subjekty v rámci hodnotového řetězce, jelikož stav odpadu nebo výrobku určuje celý právní stav použitelný pro recyklované materiály (povolení a povolení zařízení, pravidla přepravy, chemické legislativy apod.);</w:t>
      </w:r>
    </w:p>
    <w:p w:rsidR="00566478" w:rsidRDefault="00566478" w:rsidP="00566478">
      <w:pPr>
        <w:pStyle w:val="Odstavecseseznamem"/>
        <w:numPr>
          <w:ilvl w:val="0"/>
          <w:numId w:val="2"/>
        </w:numPr>
        <w:autoSpaceDE w:val="0"/>
        <w:autoSpaceDN w:val="0"/>
        <w:jc w:val="both"/>
        <w:rPr>
          <w:color w:val="002060"/>
          <w:sz w:val="24"/>
          <w:szCs w:val="24"/>
          <w:lang w:eastAsia="fr-FR"/>
        </w:rPr>
      </w:pPr>
      <w:r>
        <w:rPr>
          <w:color w:val="002060"/>
          <w:sz w:val="24"/>
          <w:szCs w:val="24"/>
          <w:lang w:eastAsia="fr-FR"/>
        </w:rPr>
        <w:t>Zadruhé, vzhledem k tomu, že kritéria pro ukončení odpadu (EOW) stanovená na evropské úrovni (nejlepší možnost) nebo na vnitrostátní úrovni (druhá nejlepší možnost v případě neexistence EZ v celé EU) za předpokladu, že jsou stanoveny podmínky pro uznání, mohou být použitelné i v jiných evropských zemích, jsou nástrojem pro dokončení dobře fungujícího vnitřního trhu pro recyklaci, který dnes neexistuje.</w:t>
      </w:r>
    </w:p>
    <w:p w:rsidR="00566478" w:rsidRDefault="00566478" w:rsidP="00566478">
      <w:pPr>
        <w:autoSpaceDE w:val="0"/>
        <w:autoSpaceDN w:val="0"/>
        <w:ind w:left="708"/>
        <w:jc w:val="both"/>
        <w:rPr>
          <w:color w:val="002060"/>
          <w:sz w:val="24"/>
          <w:szCs w:val="24"/>
          <w:lang w:eastAsia="fr-FR"/>
        </w:rPr>
      </w:pPr>
      <w:r>
        <w:rPr>
          <w:color w:val="002060"/>
          <w:sz w:val="24"/>
          <w:szCs w:val="24"/>
          <w:lang w:eastAsia="fr-FR"/>
        </w:rPr>
        <w:t>Nedostatek kritérií pro konec odpadu pro papír, i přes existenci evropské normy kvality pro recyklovaný papír (EN 643), nebo zejména pro novější toky (ať už jde o plasty, baterie atd.), Představuje skutečný problém v každodenním podnikání činnosti pro recyklátory. Nedostatek kritérií pro ukončení odpadu výrazně znemožňuje posun směrem k okružnímu hospodářství a současně poskytne regulační a obchodní výhodu lineárním hodnotovým řetězcům, které nejsou vystaveny takové právní nejistotě.</w:t>
      </w:r>
    </w:p>
    <w:p w:rsidR="00566478" w:rsidRDefault="00566478" w:rsidP="00566478">
      <w:pPr>
        <w:autoSpaceDE w:val="0"/>
        <w:autoSpaceDN w:val="0"/>
        <w:jc w:val="both"/>
        <w:rPr>
          <w:color w:val="002060"/>
          <w:sz w:val="24"/>
          <w:szCs w:val="24"/>
          <w:lang w:eastAsia="fr-FR"/>
        </w:rPr>
      </w:pPr>
    </w:p>
    <w:p w:rsidR="00566478" w:rsidRDefault="00566478" w:rsidP="00566478">
      <w:pPr>
        <w:autoSpaceDE w:val="0"/>
        <w:autoSpaceDN w:val="0"/>
        <w:jc w:val="both"/>
        <w:rPr>
          <w:b/>
          <w:bCs/>
          <w:color w:val="002060"/>
          <w:sz w:val="24"/>
          <w:szCs w:val="24"/>
          <w:lang w:eastAsia="fr-FR"/>
        </w:rPr>
      </w:pPr>
      <w:r>
        <w:rPr>
          <w:b/>
          <w:bCs/>
          <w:color w:val="002060"/>
          <w:sz w:val="24"/>
          <w:szCs w:val="24"/>
          <w:lang w:eastAsia="fr-FR"/>
        </w:rPr>
        <w:t>Kritéria konce odpadu stanovená na národní úrovni</w:t>
      </w:r>
    </w:p>
    <w:p w:rsidR="00566478" w:rsidRDefault="00566478" w:rsidP="00566478">
      <w:pPr>
        <w:autoSpaceDE w:val="0"/>
        <w:autoSpaceDN w:val="0"/>
        <w:jc w:val="both"/>
        <w:rPr>
          <w:color w:val="002060"/>
          <w:sz w:val="24"/>
          <w:szCs w:val="24"/>
          <w:lang w:eastAsia="fr-FR"/>
        </w:rPr>
      </w:pPr>
      <w:r>
        <w:rPr>
          <w:color w:val="002060"/>
          <w:sz w:val="24"/>
          <w:szCs w:val="24"/>
          <w:lang w:eastAsia="fr-FR"/>
        </w:rPr>
        <w:t>Kritéria EoW platná v celé EU zůstávají zdaleka nejlepším řešením, neboť je to jediný přístup, který zaručuje, že se v celé EU uplatňují na základě stejných kritérií, kdykoli se operátoři rozhodnou využít příležitosti k použití těchto kritérií.</w:t>
      </w:r>
    </w:p>
    <w:p w:rsidR="00566478" w:rsidRDefault="00566478" w:rsidP="00566478">
      <w:pPr>
        <w:autoSpaceDE w:val="0"/>
        <w:autoSpaceDN w:val="0"/>
        <w:jc w:val="both"/>
        <w:rPr>
          <w:color w:val="002060"/>
          <w:sz w:val="24"/>
          <w:szCs w:val="24"/>
          <w:lang w:eastAsia="fr-FR"/>
        </w:rPr>
      </w:pPr>
      <w:r>
        <w:rPr>
          <w:color w:val="002060"/>
          <w:sz w:val="24"/>
          <w:szCs w:val="24"/>
          <w:lang w:eastAsia="fr-FR"/>
        </w:rPr>
        <w:t>EuRIC podporuje národní konec odpadu stanovený na národní úrovni pouze tehdy, pokud neexistuje konec odpadu v celé EU a pokud jsou:</w:t>
      </w:r>
    </w:p>
    <w:p w:rsidR="00566478" w:rsidRDefault="00566478" w:rsidP="00566478">
      <w:pPr>
        <w:pStyle w:val="Odstavecseseznamem"/>
        <w:numPr>
          <w:ilvl w:val="0"/>
          <w:numId w:val="3"/>
        </w:numPr>
        <w:autoSpaceDE w:val="0"/>
        <w:autoSpaceDN w:val="0"/>
        <w:jc w:val="both"/>
        <w:rPr>
          <w:color w:val="002060"/>
          <w:sz w:val="24"/>
          <w:szCs w:val="24"/>
          <w:lang w:eastAsia="fr-FR"/>
        </w:rPr>
      </w:pPr>
      <w:r>
        <w:rPr>
          <w:color w:val="002060"/>
          <w:sz w:val="24"/>
          <w:szCs w:val="24"/>
          <w:lang w:eastAsia="fr-FR"/>
        </w:rPr>
        <w:t>oznámena Evropskou komisí;</w:t>
      </w:r>
    </w:p>
    <w:p w:rsidR="00566478" w:rsidRDefault="00566478" w:rsidP="00566478">
      <w:pPr>
        <w:pStyle w:val="Odstavecseseznamem"/>
        <w:numPr>
          <w:ilvl w:val="0"/>
          <w:numId w:val="3"/>
        </w:numPr>
        <w:autoSpaceDE w:val="0"/>
        <w:autoSpaceDN w:val="0"/>
        <w:jc w:val="both"/>
        <w:rPr>
          <w:color w:val="002060"/>
          <w:sz w:val="24"/>
          <w:szCs w:val="24"/>
          <w:lang w:eastAsia="fr-FR"/>
        </w:rPr>
      </w:pPr>
      <w:r>
        <w:rPr>
          <w:color w:val="002060"/>
          <w:sz w:val="24"/>
          <w:szCs w:val="24"/>
          <w:lang w:eastAsia="fr-FR"/>
        </w:rPr>
        <w:t>veřejně přístupná prostřednictvím databáze, která umožňuje všem zúčastněným stranám rychle identifikovat konec odpadu, který již byl přijat v členských státech prostřednictvím toku zdrojů;</w:t>
      </w:r>
    </w:p>
    <w:p w:rsidR="00566478" w:rsidRDefault="00566478" w:rsidP="00566478">
      <w:pPr>
        <w:pStyle w:val="Odstavecseseznamem"/>
        <w:numPr>
          <w:ilvl w:val="0"/>
          <w:numId w:val="3"/>
        </w:numPr>
        <w:autoSpaceDE w:val="0"/>
        <w:autoSpaceDN w:val="0"/>
        <w:jc w:val="both"/>
        <w:rPr>
          <w:color w:val="002060"/>
          <w:sz w:val="24"/>
          <w:szCs w:val="24"/>
          <w:lang w:eastAsia="fr-FR"/>
        </w:rPr>
      </w:pPr>
      <w:r>
        <w:rPr>
          <w:color w:val="002060"/>
          <w:sz w:val="24"/>
          <w:szCs w:val="24"/>
          <w:lang w:eastAsia="fr-FR"/>
        </w:rPr>
        <w:t>zřídil se jednoduchý mechanismus, který zajistí uznání vnitrostátních kritérií EO v souladu s minimálními požadavky v jiných členských státech, aby bylo zaručeno účinné fungování vnitřního trhu s recyklací;</w:t>
      </w:r>
    </w:p>
    <w:p w:rsidR="00566478" w:rsidRDefault="00566478" w:rsidP="00566478">
      <w:pPr>
        <w:autoSpaceDE w:val="0"/>
        <w:autoSpaceDN w:val="0"/>
        <w:jc w:val="both"/>
        <w:rPr>
          <w:color w:val="002060"/>
          <w:sz w:val="24"/>
          <w:szCs w:val="24"/>
          <w:lang w:eastAsia="fr-FR"/>
        </w:rPr>
      </w:pPr>
      <w:r>
        <w:rPr>
          <w:color w:val="002060"/>
          <w:sz w:val="24"/>
          <w:szCs w:val="24"/>
          <w:lang w:eastAsia="fr-FR"/>
        </w:rPr>
        <w:t>EuRIC se staví proti mechanismu případ od případu, který by kontroloval, zda odpad přestal být odpadem, pokud jsou tato rozhodnutí platná pouze v rámci jednoho členského státu, aniž by byla dostupná možnost zajistit jejich uznání v jiném členském státě. Ve skutečnosti by tyto mechanismy, i když by mohly přinést výhody na místní úrovni, způsobily roztříštěnost vnitřního trhu s recyklací, neboť odpad považovaný za konec odpadu v jedné zemi nebo regionu, zůstane odpadem v jiných a recyklace</w:t>
      </w:r>
      <w:r>
        <w:rPr>
          <w:b/>
          <w:bCs/>
          <w:color w:val="002060"/>
          <w:sz w:val="24"/>
          <w:szCs w:val="24"/>
          <w:lang w:eastAsia="fr-FR"/>
        </w:rPr>
        <w:t xml:space="preserve"> </w:t>
      </w:r>
      <w:r>
        <w:rPr>
          <w:color w:val="002060"/>
          <w:sz w:val="24"/>
          <w:szCs w:val="24"/>
          <w:lang w:eastAsia="fr-FR"/>
        </w:rPr>
        <w:t>bude pokračovat v systémové právní nejistotě. Kromě toho, stejně jako u jakéhokoli druhu vnitrostátních kritérií pro ukončení odpadu, budou mechanismy případ od případu oznámeny Evropské komisi, aby bylo možné posoudit příležitost přijmout kritéria platná pro celou EU, která by měla zůstat konečným cílem.</w:t>
      </w:r>
    </w:p>
    <w:p w:rsidR="00566478" w:rsidRDefault="00566478" w:rsidP="00566478">
      <w:pPr>
        <w:autoSpaceDE w:val="0"/>
        <w:autoSpaceDN w:val="0"/>
        <w:jc w:val="both"/>
        <w:rPr>
          <w:color w:val="002060"/>
          <w:sz w:val="24"/>
          <w:szCs w:val="24"/>
          <w:lang w:eastAsia="fr-FR"/>
        </w:rPr>
      </w:pPr>
    </w:p>
    <w:p w:rsidR="00566478" w:rsidRDefault="00566478" w:rsidP="00566478">
      <w:pPr>
        <w:autoSpaceDE w:val="0"/>
        <w:autoSpaceDN w:val="0"/>
        <w:jc w:val="both"/>
        <w:rPr>
          <w:color w:val="002060"/>
          <w:sz w:val="24"/>
          <w:szCs w:val="24"/>
          <w:lang w:eastAsia="fr-FR"/>
        </w:rPr>
      </w:pPr>
      <w:r>
        <w:rPr>
          <w:color w:val="002060"/>
          <w:sz w:val="24"/>
          <w:szCs w:val="24"/>
          <w:lang w:eastAsia="fr-FR"/>
        </w:rPr>
        <w:t xml:space="preserve">EuRIC by ráda využila této příležitosti, aby připomněla na svou dřívější a ustálenou pozici </w:t>
      </w:r>
      <w:proofErr w:type="gramStart"/>
      <w:r>
        <w:rPr>
          <w:color w:val="002060"/>
          <w:sz w:val="24"/>
          <w:szCs w:val="24"/>
          <w:lang w:eastAsia="fr-FR"/>
        </w:rPr>
        <w:t>na</w:t>
      </w:r>
      <w:proofErr w:type="gramEnd"/>
      <w:r>
        <w:rPr>
          <w:color w:val="002060"/>
          <w:sz w:val="24"/>
          <w:szCs w:val="24"/>
          <w:lang w:eastAsia="fr-FR"/>
        </w:rPr>
        <w:t>:</w:t>
      </w:r>
    </w:p>
    <w:p w:rsidR="00566478" w:rsidRDefault="00566478" w:rsidP="00566478">
      <w:pPr>
        <w:autoSpaceDE w:val="0"/>
        <w:autoSpaceDN w:val="0"/>
        <w:jc w:val="both"/>
        <w:rPr>
          <w:color w:val="002060"/>
          <w:sz w:val="24"/>
          <w:szCs w:val="24"/>
          <w:lang w:eastAsia="fr-FR"/>
        </w:rPr>
      </w:pPr>
    </w:p>
    <w:p w:rsidR="00566478" w:rsidRDefault="00566478" w:rsidP="00566478">
      <w:pPr>
        <w:pStyle w:val="Odstavecseseznamem"/>
        <w:numPr>
          <w:ilvl w:val="0"/>
          <w:numId w:val="4"/>
        </w:numPr>
        <w:autoSpaceDE w:val="0"/>
        <w:autoSpaceDN w:val="0"/>
        <w:jc w:val="both"/>
        <w:rPr>
          <w:color w:val="002060"/>
          <w:sz w:val="24"/>
          <w:szCs w:val="24"/>
          <w:lang w:eastAsia="fr-FR"/>
        </w:rPr>
      </w:pPr>
      <w:r>
        <w:rPr>
          <w:color w:val="002060"/>
          <w:sz w:val="24"/>
          <w:szCs w:val="24"/>
          <w:lang w:eastAsia="fr-FR"/>
        </w:rPr>
        <w:lastRenderedPageBreak/>
        <w:t>Potřebu pokynů / pravidel EU, pro objasnění vnitrostátních jednorázových rozhodnutí, jak recyklované materiály, které splňují tato rozhodnutí, budou překlasifikovány jako výrobky příslušnými orgány a budou právně závazné pro všechny strany;</w:t>
      </w:r>
    </w:p>
    <w:p w:rsidR="00566478" w:rsidRDefault="00566478" w:rsidP="00566478">
      <w:pPr>
        <w:autoSpaceDE w:val="0"/>
        <w:autoSpaceDN w:val="0"/>
        <w:jc w:val="both"/>
        <w:rPr>
          <w:color w:val="002060"/>
          <w:sz w:val="24"/>
          <w:szCs w:val="24"/>
          <w:lang w:eastAsia="fr-FR"/>
        </w:rPr>
      </w:pPr>
    </w:p>
    <w:p w:rsidR="00566478" w:rsidRDefault="00566478" w:rsidP="00566478">
      <w:pPr>
        <w:autoSpaceDE w:val="0"/>
        <w:autoSpaceDN w:val="0"/>
        <w:jc w:val="both"/>
        <w:rPr>
          <w:color w:val="002060"/>
          <w:sz w:val="24"/>
          <w:szCs w:val="24"/>
          <w:lang w:eastAsia="fr-FR"/>
        </w:rPr>
      </w:pPr>
    </w:p>
    <w:p w:rsidR="00566478" w:rsidRDefault="00566478" w:rsidP="00566478">
      <w:pPr>
        <w:pStyle w:val="Odstavecseseznamem"/>
        <w:numPr>
          <w:ilvl w:val="0"/>
          <w:numId w:val="4"/>
        </w:numPr>
        <w:autoSpaceDE w:val="0"/>
        <w:autoSpaceDN w:val="0"/>
        <w:jc w:val="both"/>
        <w:rPr>
          <w:color w:val="002060"/>
          <w:sz w:val="24"/>
          <w:szCs w:val="24"/>
          <w:lang w:eastAsia="fr-FR"/>
        </w:rPr>
      </w:pPr>
      <w:r>
        <w:rPr>
          <w:color w:val="002060"/>
          <w:sz w:val="24"/>
          <w:szCs w:val="24"/>
          <w:lang w:eastAsia="fr-FR"/>
        </w:rPr>
        <w:t xml:space="preserve">Zajištění toho, aby režim pro vedlejší produkty nebyl příznivější než režim pro kritéria EoW, aby se zabránilo vytváření regulačních mezer mezi těmito dvěma režimy, které mají stejný cíl, a to </w:t>
      </w:r>
      <w:r>
        <w:rPr>
          <w:b/>
          <w:bCs/>
          <w:color w:val="002060"/>
          <w:sz w:val="24"/>
          <w:szCs w:val="24"/>
          <w:lang w:eastAsia="fr-FR"/>
        </w:rPr>
        <w:t>definovat to, co není odpadem</w:t>
      </w:r>
      <w:r>
        <w:rPr>
          <w:color w:val="002060"/>
          <w:sz w:val="24"/>
          <w:szCs w:val="24"/>
          <w:lang w:eastAsia="fr-FR"/>
        </w:rPr>
        <w:t>, ať už v prvním stupni (pro vedlejší produkty) nebo po procesu zpětného získání (pro kritéria EoW) a závisel výlučně na záměru a kvalifikaci držitele.</w:t>
      </w:r>
    </w:p>
    <w:p w:rsidR="001318BC" w:rsidRDefault="001318BC">
      <w:bookmarkStart w:id="0" w:name="_GoBack"/>
      <w:bookmarkEnd w:id="0"/>
    </w:p>
    <w:sectPr w:rsidR="00131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7E4D"/>
    <w:multiLevelType w:val="hybridMultilevel"/>
    <w:tmpl w:val="4B12853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B63837"/>
    <w:multiLevelType w:val="hybridMultilevel"/>
    <w:tmpl w:val="D5D8400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721732F"/>
    <w:multiLevelType w:val="hybridMultilevel"/>
    <w:tmpl w:val="4FD8A9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F403045"/>
    <w:multiLevelType w:val="hybridMultilevel"/>
    <w:tmpl w:val="C13802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78"/>
    <w:rsid w:val="001318BC"/>
    <w:rsid w:val="00566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AE9C5-5247-4B83-B57B-054497F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6478"/>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64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1</cp:revision>
  <dcterms:created xsi:type="dcterms:W3CDTF">2017-11-26T18:43:00Z</dcterms:created>
  <dcterms:modified xsi:type="dcterms:W3CDTF">2017-11-26T18:44:00Z</dcterms:modified>
</cp:coreProperties>
</file>