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1B" w:rsidRPr="00995C2B" w:rsidRDefault="00995C2B" w:rsidP="00995C2B">
      <w:pPr>
        <w:pStyle w:val="TechnicalBlock"/>
        <w:ind w:left="-1134" w:right="-1134"/>
      </w:pPr>
      <w:bookmarkStart w:id="0" w:name="LW_BM_COVERPAGE"/>
      <w:bookmarkStart w:id="1" w:name="DW_BM_COVERPAGE"/>
      <w:bookmarkStart w:id="2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ad965982-717f-48b9-b3e5-d326dabcf204_0" style="width:568.5pt;height:486pt">
            <v:imagedata r:id="rId8" o:title=""/>
          </v:shape>
        </w:pict>
      </w:r>
      <w:bookmarkEnd w:id="1"/>
      <w:bookmarkEnd w:id="2"/>
    </w:p>
    <w:p w:rsidR="001E511B" w:rsidRDefault="001E511B" w:rsidP="00995C2B">
      <w:pPr>
        <w:pStyle w:val="EntText"/>
        <w:spacing w:before="480"/>
      </w:pPr>
      <w:r w:rsidRPr="001E511B">
        <w:t xml:space="preserve">Delegace naleznou v příloze dokument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="00995C2B" w:rsidRPr="00995C2B">
        <w:instrText>COM(2015) 614 final - ANNEX 1</w:instrText>
      </w:r>
      <w:r>
        <w:instrText xml:space="preserve">" </w:instrText>
      </w:r>
      <w:r>
        <w:fldChar w:fldCharType="separate"/>
      </w:r>
      <w:r w:rsidR="00995C2B" w:rsidRPr="00995C2B">
        <w:t>COM(2015) 614 final - ANNEX 1</w:t>
      </w:r>
      <w:r>
        <w:fldChar w:fldCharType="end"/>
      </w:r>
      <w:r w:rsidRPr="001E511B">
        <w:t>.</w:t>
      </w:r>
    </w:p>
    <w:p w:rsidR="001E511B" w:rsidRDefault="001E511B" w:rsidP="001E511B">
      <w:pPr>
        <w:pStyle w:val="Lignefinal"/>
      </w:pPr>
    </w:p>
    <w:p w:rsidR="001E511B" w:rsidRPr="001E511B" w:rsidRDefault="001E511B" w:rsidP="00995C2B">
      <w:pPr>
        <w:pStyle w:val="pj"/>
        <w:spacing w:before="120"/>
      </w:pPr>
      <w:r w:rsidRPr="001E511B">
        <w:t xml:space="preserve">Příloha: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="00995C2B" w:rsidRPr="00995C2B">
        <w:instrText>COM(2015) 614 final - ANNEX 1</w:instrText>
      </w:r>
      <w:r>
        <w:instrText xml:space="preserve">" </w:instrText>
      </w:r>
      <w:r>
        <w:fldChar w:fldCharType="separate"/>
      </w:r>
      <w:r w:rsidR="00995C2B" w:rsidRPr="00995C2B">
        <w:t>COM(2015) 614 final - ANNEX 1</w:t>
      </w:r>
      <w:r>
        <w:fldChar w:fldCharType="end"/>
      </w:r>
    </w:p>
    <w:p w:rsidR="001E511B" w:rsidRDefault="001E511B" w:rsidP="001E511B">
      <w:pPr>
        <w:rPr>
          <w:noProof/>
        </w:rPr>
        <w:sectPr w:rsidR="001E511B" w:rsidSect="00995C2B">
          <w:footerReference w:type="default" r:id="rId9"/>
          <w:footerReference w:type="first" r:id="rId10"/>
          <w:pgSz w:w="11906" w:h="16838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:rsidR="00B21D36" w:rsidRDefault="00995C2B">
      <w:pPr>
        <w:pStyle w:val="Pagedecouverture"/>
        <w:rPr>
          <w:noProof/>
        </w:rPr>
      </w:pPr>
      <w:r>
        <w:rPr>
          <w:noProof/>
        </w:rPr>
        <w:lastRenderedPageBreak/>
        <w:pict>
          <v:shape id="_x0000_i1026" type="#_x0000_t75" alt="A5AF6BF28AD7429891F2FF17FB56E7D6" style="width:450pt;height:379.5pt">
            <v:imagedata r:id="rId11" o:title=""/>
          </v:shape>
        </w:pict>
      </w:r>
    </w:p>
    <w:bookmarkEnd w:id="0"/>
    <w:p w:rsidR="00B21D36" w:rsidRDefault="00B21D36">
      <w:pPr>
        <w:rPr>
          <w:noProof/>
        </w:rPr>
        <w:sectPr w:rsidR="00B21D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21D36" w:rsidRDefault="001E511B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lastRenderedPageBreak/>
        <w:t>Všechna opatření uvedená v tomto akčním plánu musí být přijímána v souladu se zásadami zlepšování právní úpravy, včetně případného provedení posouzení dopadu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560"/>
        <w:gridCol w:w="1480"/>
      </w:tblGrid>
      <w:tr w:rsidR="00B21D36">
        <w:trPr>
          <w:trHeight w:val="43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Opatření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Časový plán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Výroba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Zdůraznění aspektů oběhového hospodářství v budoucích</w:t>
            </w:r>
            <w:r>
              <w:rPr>
                <w:rFonts w:ascii="Times New Roman" w:hAnsi="Times New Roman"/>
                <w:b/>
                <w:noProof/>
              </w:rPr>
              <w:t xml:space="preserve"> požadavcích na výrobky vyplývající ze směrnice o ekodesignu</w:t>
            </w:r>
            <w:r>
              <w:rPr>
                <w:rFonts w:ascii="Times New Roman" w:hAnsi="Times New Roman"/>
                <w:noProof/>
              </w:rPr>
              <w:t xml:space="preserve">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Pracovní plán pro ekodesign</w:t>
            </w:r>
            <w:r>
              <w:rPr>
                <w:rFonts w:ascii="Times New Roman" w:hAnsi="Times New Roman"/>
                <w:noProof/>
              </w:rPr>
              <w:t xml:space="preserve"> na období 2015–2017 a </w:t>
            </w:r>
            <w:r>
              <w:rPr>
                <w:rFonts w:ascii="Times New Roman" w:hAnsi="Times New Roman"/>
                <w:b/>
                <w:noProof/>
              </w:rPr>
              <w:t>podání žádosti evropským normalizačním organizacím</w:t>
            </w:r>
            <w:r>
              <w:rPr>
                <w:rFonts w:ascii="Times New Roman" w:hAnsi="Times New Roman"/>
                <w:noProof/>
              </w:rPr>
              <w:t xml:space="preserve"> o vypracování norem pro materiálovou účinnost pro stanovení budoucích požadavků na ekodesign, pokud jde o trvalost, opravitelnost a recyklovatelnost výrobků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prosinec 2015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Návrh </w:t>
            </w:r>
            <w:r>
              <w:rPr>
                <w:rFonts w:ascii="Times New Roman" w:hAnsi="Times New Roman"/>
                <w:b/>
                <w:noProof/>
              </w:rPr>
              <w:t>prováděcího nařízení</w:t>
            </w:r>
            <w:r>
              <w:rPr>
                <w:rFonts w:ascii="Times New Roman" w:hAnsi="Times New Roman"/>
                <w:noProof/>
              </w:rPr>
              <w:t xml:space="preserve"> pro televizory a displeje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konec roku 2015 nebo začátek roku 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Ověření možností a opatření pro soudržnější rámec pro různé dílčí činnosti, které se v rámci politik EU týkají produktů a jejich přínosu pro oběhové hospodářství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2018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Zahrnutí pokynů týkajících se oběhového hospodářství do </w:t>
            </w:r>
            <w:r>
              <w:rPr>
                <w:rFonts w:ascii="Times New Roman" w:hAnsi="Times New Roman"/>
                <w:b/>
                <w:noProof/>
              </w:rPr>
              <w:t xml:space="preserve">referenčních dokumentů o nejlepších dostupných technikách (BREF) </w:t>
            </w:r>
            <w:r>
              <w:rPr>
                <w:rFonts w:ascii="Times New Roman" w:hAnsi="Times New Roman"/>
                <w:noProof/>
              </w:rPr>
              <w:t>pro řadu průmyslových odvětví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Pokyny a podpora osvědčených postupů</w:t>
            </w:r>
            <w:r>
              <w:rPr>
                <w:rFonts w:ascii="Times New Roman" w:hAnsi="Times New Roman"/>
                <w:noProof/>
              </w:rPr>
              <w:t xml:space="preserve"> v plánech pro nakládání s důlním odpadem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2018</w:t>
            </w:r>
          </w:p>
        </w:tc>
      </w:tr>
      <w:tr w:rsidR="00B21D36">
        <w:trPr>
          <w:trHeight w:val="9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Vytvoření otevřené </w:t>
            </w:r>
            <w:r>
              <w:rPr>
                <w:rFonts w:ascii="Times New Roman" w:hAnsi="Times New Roman"/>
                <w:b/>
                <w:noProof/>
              </w:rPr>
              <w:t>celoevropské sítě technologických infrastruktur pro malé a střední podniky</w:t>
            </w:r>
            <w:r>
              <w:rPr>
                <w:rFonts w:ascii="Times New Roman" w:hAnsi="Times New Roman"/>
                <w:noProof/>
              </w:rPr>
              <w:t xml:space="preserve"> s cílem začlenit pokročilé výrobní technologie do jejich výrobních postupů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9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Posouzení </w:t>
            </w:r>
            <w:r>
              <w:rPr>
                <w:rFonts w:ascii="Times New Roman" w:hAnsi="Times New Roman"/>
                <w:b/>
                <w:noProof/>
              </w:rPr>
              <w:t>možností zlepšení účinnosti a využívání</w:t>
            </w:r>
            <w:r>
              <w:rPr>
                <w:rFonts w:ascii="Times New Roman" w:hAnsi="Times New Roman"/>
                <w:noProof/>
              </w:rPr>
              <w:t xml:space="preserve"> systému EU pro environmentální řízení podniků a audit (EMAS) a pilotního programu týkajícího se ověřování environmentálních technologií (ETV)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2017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Vytvoření lepší </w:t>
            </w:r>
            <w:r>
              <w:rPr>
                <w:rFonts w:ascii="Times New Roman" w:hAnsi="Times New Roman"/>
                <w:b/>
                <w:noProof/>
              </w:rPr>
              <w:t>znalostní základny a podpora malých a středních podniků</w:t>
            </w:r>
            <w:r>
              <w:rPr>
                <w:rFonts w:ascii="Times New Roman" w:hAnsi="Times New Roman"/>
                <w:noProof/>
              </w:rPr>
              <w:t xml:space="preserve">, pokud jde o nahrazení nebezpečných látek vzbuzujících mimořádné obavy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2018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Spotřeba</w:t>
            </w:r>
          </w:p>
        </w:tc>
      </w:tr>
      <w:tr w:rsidR="00B21D36">
        <w:trPr>
          <w:trHeight w:val="9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Lepší prosazování</w:t>
            </w:r>
            <w:r>
              <w:rPr>
                <w:rFonts w:ascii="Times New Roman" w:hAnsi="Times New Roman"/>
                <w:noProof/>
              </w:rPr>
              <w:t xml:space="preserve"> stávajících záruk týkajících se konkrétních výrobků a </w:t>
            </w:r>
            <w:r>
              <w:rPr>
                <w:rFonts w:ascii="Times New Roman" w:hAnsi="Times New Roman"/>
                <w:b/>
                <w:noProof/>
              </w:rPr>
              <w:t>ověření možností zlepšení</w:t>
            </w:r>
            <w:r>
              <w:rPr>
                <w:rFonts w:ascii="Times New Roman" w:hAnsi="Times New Roman"/>
                <w:noProof/>
              </w:rPr>
              <w:t xml:space="preserve"> (nadcházející návrh Komise o internetovém prodeji zboží a kontrola účelnosti právních předpisů na ochranu spotřebitele)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2015–2017</w:t>
            </w:r>
          </w:p>
        </w:tc>
      </w:tr>
      <w:tr w:rsidR="00B21D36">
        <w:trPr>
          <w:trHeight w:val="6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Opatření týkající se klamavých ekologických tvrzení, včetně </w:t>
            </w:r>
            <w:r>
              <w:rPr>
                <w:rFonts w:ascii="Times New Roman" w:hAnsi="Times New Roman"/>
                <w:b/>
                <w:noProof/>
              </w:rPr>
              <w:t>aktualizovaných pokynů</w:t>
            </w:r>
            <w:r>
              <w:rPr>
                <w:rFonts w:ascii="Times New Roman" w:hAnsi="Times New Roman"/>
                <w:noProof/>
              </w:rPr>
              <w:t xml:space="preserve"> týkajících se nekalých obchodních praktik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Analýza možnosti navrhnout horizontální požadavky na poskytování informací o provádění oprav v rámci ekodesignu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2018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Program pro účelnost a účinnost právních předpisů (REFIT)</w:t>
            </w:r>
            <w:r>
              <w:rPr>
                <w:rFonts w:ascii="Times New Roman" w:hAnsi="Times New Roman"/>
                <w:noProof/>
              </w:rPr>
              <w:t xml:space="preserve"> týkající se ekoznačky, po kterém budou následovat opatření na zvýšení jeho účinnosti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Posouzení možnosti </w:t>
            </w:r>
            <w:r>
              <w:rPr>
                <w:rFonts w:ascii="Times New Roman" w:hAnsi="Times New Roman"/>
                <w:b/>
                <w:noProof/>
              </w:rPr>
              <w:t>programu nezávislého testování</w:t>
            </w:r>
            <w:r>
              <w:rPr>
                <w:rFonts w:ascii="Times New Roman" w:hAnsi="Times New Roman"/>
                <w:noProof/>
              </w:rPr>
              <w:t xml:space="preserve"> k plánovanému zastarávání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2018</w:t>
            </w:r>
          </w:p>
        </w:tc>
      </w:tr>
      <w:tr w:rsidR="00B21D36">
        <w:trPr>
          <w:trHeight w:val="9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Ověření možností použití environmentální stopy produktu pro měření a sdělování informací o životním prostředí s výhradou hodnocení stávajících probíhajících pilotních projektů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9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Opatření pro zelené veřejné zakázky: větší integrace požadavků oběhového hospodářství, podpora většího využívání, včetně prostřednictvím vzdělávacích programů, posílení využívání zelených veřejných zakázek při zadávání zakázek Komisí a při poskytování finančních prostředků EU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Nakládání s odpady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Revidované legislativní návrhy</w:t>
            </w:r>
            <w:r>
              <w:rPr>
                <w:rFonts w:ascii="Times New Roman" w:hAnsi="Times New Roman"/>
                <w:noProof/>
              </w:rPr>
              <w:t xml:space="preserve"> týkající se odpadu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prosinec 2015</w:t>
            </w:r>
          </w:p>
        </w:tc>
      </w:tr>
      <w:tr w:rsidR="00B21D36">
        <w:trPr>
          <w:trHeight w:val="555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Zlepšená spolupráce s členskými státy</w:t>
            </w:r>
            <w:r>
              <w:rPr>
                <w:rFonts w:ascii="Times New Roman" w:hAnsi="Times New Roman"/>
                <w:noProof/>
              </w:rPr>
              <w:t xml:space="preserve"> zaměřená na lepší provádění právních předpisů EU týkajících se odpadu a boj proti nezákonné přepravě vozidel s ukončenou životností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2015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Posílení</w:t>
            </w:r>
            <w:r>
              <w:rPr>
                <w:rFonts w:ascii="Times New Roman" w:hAnsi="Times New Roman"/>
                <w:b/>
                <w:noProof/>
              </w:rPr>
              <w:t xml:space="preserve"> prosazování</w:t>
            </w:r>
            <w:r>
              <w:rPr>
                <w:rFonts w:ascii="Times New Roman" w:hAnsi="Times New Roman"/>
                <w:noProof/>
              </w:rPr>
              <w:t xml:space="preserve"> revidovaného nařízení o přepravě odpadů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Podpora </w:t>
            </w:r>
            <w:r>
              <w:rPr>
                <w:rFonts w:ascii="Times New Roman" w:hAnsi="Times New Roman"/>
                <w:b/>
                <w:noProof/>
              </w:rPr>
              <w:t>dobrovolné certifikace</w:t>
            </w:r>
            <w:r>
              <w:rPr>
                <w:rFonts w:ascii="Times New Roman" w:hAnsi="Times New Roman"/>
                <w:noProof/>
              </w:rPr>
              <w:t xml:space="preserve"> iniciované odvětvím týkající se zařízení pro zpracování klíčových toků odpadu / recyklátu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2018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Iniciativa týkající se využívání energie z odpadů </w:t>
            </w:r>
            <w:r>
              <w:rPr>
                <w:rFonts w:ascii="Times New Roman" w:hAnsi="Times New Roman"/>
                <w:noProof/>
              </w:rPr>
              <w:t xml:space="preserve">v rámci energetické unie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Určování a šíření osvědčených postupů u systémů sběru odpadu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od roku 2016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Trh s druhotnými surovinami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Rozvoj </w:t>
            </w:r>
            <w:r>
              <w:rPr>
                <w:rFonts w:ascii="Times New Roman" w:hAnsi="Times New Roman"/>
                <w:b/>
                <w:noProof/>
              </w:rPr>
              <w:t>norem kvality</w:t>
            </w:r>
            <w:r>
              <w:rPr>
                <w:rFonts w:ascii="Times New Roman" w:hAnsi="Times New Roman"/>
                <w:noProof/>
              </w:rPr>
              <w:t xml:space="preserve"> pro druhotné suroviny (zejména pro plasty)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Návrh revidovaného nařízení o hnojivech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na začátku roku 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Legislativní návrh</w:t>
            </w:r>
            <w:r>
              <w:rPr>
                <w:rFonts w:ascii="Times New Roman" w:hAnsi="Times New Roman"/>
                <w:noProof/>
              </w:rPr>
              <w:t xml:space="preserve"> stanovující minimální požadavky na opětovně využívanou vodu k zavlažování a doplňování podzemních vod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2017</w:t>
            </w:r>
          </w:p>
        </w:tc>
      </w:tr>
      <w:tr w:rsidR="00B21D36">
        <w:trPr>
          <w:trHeight w:val="12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Podpora bezpečného a nákladově efektivního opětovného využívání vody, včetně </w:t>
            </w:r>
            <w:r>
              <w:rPr>
                <w:rFonts w:ascii="Times New Roman" w:hAnsi="Times New Roman"/>
                <w:b/>
                <w:noProof/>
              </w:rPr>
              <w:t>pokynů</w:t>
            </w:r>
            <w:r>
              <w:rPr>
                <w:rFonts w:ascii="Times New Roman" w:hAnsi="Times New Roman"/>
                <w:noProof/>
              </w:rPr>
              <w:t xml:space="preserve"> pro začlenění opětovného využívání vody do plánování a správy vodních zdrojů, </w:t>
            </w:r>
            <w:r>
              <w:rPr>
                <w:rFonts w:ascii="Times New Roman" w:hAnsi="Times New Roman"/>
                <w:b/>
                <w:noProof/>
              </w:rPr>
              <w:t>začlenění osvědčených postupů do příslušných referenčních dokumentů o nejlepších dostupných technikách</w:t>
            </w:r>
            <w:r>
              <w:rPr>
                <w:rFonts w:ascii="Times New Roman" w:hAnsi="Times New Roman"/>
                <w:noProof/>
              </w:rPr>
              <w:t xml:space="preserve"> a podpora inovací (prostřednictvím evropského inovačního partnerství a programu Horizont 2020) a investic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2016–2017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Analýzy a možnosti politiky</w:t>
            </w:r>
            <w:r>
              <w:rPr>
                <w:rFonts w:ascii="Times New Roman" w:hAnsi="Times New Roman"/>
                <w:noProof/>
              </w:rPr>
              <w:t>, které se týkají rozhraní mezi právními předpisy v oblasti chemických látek, výrobků a odpadu, včetně otázky, jak snížit přítomnost nebezpečných chemických látek ve výrobcích a jak zlepšit jejich sledování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2017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Opatření k usnadnění přepravy odpadu v celé EU, včetně </w:t>
            </w:r>
            <w:r>
              <w:rPr>
                <w:rFonts w:ascii="Times New Roman" w:hAnsi="Times New Roman"/>
                <w:b/>
                <w:noProof/>
              </w:rPr>
              <w:t>elektronické výměny údajů</w:t>
            </w:r>
            <w:r>
              <w:rPr>
                <w:rFonts w:ascii="Times New Roman" w:hAnsi="Times New Roman"/>
                <w:noProof/>
              </w:rPr>
              <w:t xml:space="preserve"> (a případně dalších opatření)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Další vývoj </w:t>
            </w:r>
            <w:r>
              <w:rPr>
                <w:rFonts w:ascii="Times New Roman" w:hAnsi="Times New Roman"/>
                <w:b/>
                <w:noProof/>
              </w:rPr>
              <w:t>informačního systému</w:t>
            </w:r>
            <w:r>
              <w:rPr>
                <w:rFonts w:ascii="Times New Roman" w:hAnsi="Times New Roman"/>
                <w:noProof/>
              </w:rPr>
              <w:t xml:space="preserve"> EU </w:t>
            </w:r>
            <w:r>
              <w:rPr>
                <w:rFonts w:ascii="Times New Roman" w:hAnsi="Times New Roman"/>
                <w:b/>
                <w:noProof/>
              </w:rPr>
              <w:t>v oblasti nerostných surovin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Odvětvová opatření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Plasty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Strategie </w:t>
            </w:r>
            <w:r>
              <w:rPr>
                <w:rFonts w:ascii="Times New Roman" w:hAnsi="Times New Roman"/>
                <w:noProof/>
              </w:rPr>
              <w:t xml:space="preserve">pro plasty v oběhovém hospodářství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2017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Specifická opatření pro snížení množství odpadků v mořích v rámci provádění cílů udržitelného rozvoje do roku 2030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2015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Plýtvání potravinami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Vývoj </w:t>
            </w:r>
            <w:r>
              <w:rPr>
                <w:rFonts w:ascii="Times New Roman" w:hAnsi="Times New Roman"/>
                <w:b/>
                <w:noProof/>
              </w:rPr>
              <w:t>společné metodiky a ukazatelů</w:t>
            </w:r>
            <w:r>
              <w:rPr>
                <w:rFonts w:ascii="Times New Roman" w:hAnsi="Times New Roman"/>
                <w:noProof/>
              </w:rPr>
              <w:t xml:space="preserve"> pro měření plýtvání potravinami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Vytvoření</w:t>
            </w:r>
            <w:r>
              <w:rPr>
                <w:rFonts w:ascii="Times New Roman" w:hAnsi="Times New Roman"/>
                <w:b/>
                <w:noProof/>
              </w:rPr>
              <w:t xml:space="preserve"> platformy zúčastněných stran</w:t>
            </w:r>
            <w:r>
              <w:rPr>
                <w:rFonts w:ascii="Times New Roman" w:hAnsi="Times New Roman"/>
                <w:noProof/>
              </w:rPr>
              <w:t xml:space="preserve"> za účelem přezkoumání, jak může být dosaženo cílů udržitelného rozvoje v oblasti plýtvání potravinami, jakým způsobem sdílet osvědčení postupy a hodnotit pokrok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Vyjasnění příslušných právních předpisů EU týkajících se odpadu, potravin a krmiv </w:t>
            </w:r>
            <w:r>
              <w:rPr>
                <w:rFonts w:ascii="Times New Roman" w:hAnsi="Times New Roman"/>
                <w:noProof/>
              </w:rPr>
              <w:t xml:space="preserve">za účelem usnadnění darování potravin a využití vyřazených potravin v krmivech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Prozkoumání možností účinnějšího používání a lepšího pochopení označení data na potravinářských výrobcích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2017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Kritické suroviny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Zpráva</w:t>
            </w:r>
            <w:r>
              <w:rPr>
                <w:rFonts w:ascii="Times New Roman" w:hAnsi="Times New Roman"/>
                <w:noProof/>
              </w:rPr>
              <w:t xml:space="preserve"> o kritických surovinách a oběhovém hospodářství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2017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Zlepšení </w:t>
            </w:r>
            <w:r>
              <w:rPr>
                <w:rFonts w:ascii="Times New Roman" w:hAnsi="Times New Roman"/>
                <w:b/>
                <w:noProof/>
              </w:rPr>
              <w:t>výměny informací</w:t>
            </w:r>
            <w:r>
              <w:rPr>
                <w:rFonts w:ascii="Times New Roman" w:hAnsi="Times New Roman"/>
                <w:noProof/>
              </w:rPr>
              <w:t xml:space="preserve"> mezi výrobci a subjekty provádějícími recyklaci týkajících se elektronických výrobků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Evropské normy</w:t>
            </w:r>
            <w:r>
              <w:rPr>
                <w:rFonts w:ascii="Times New Roman" w:hAnsi="Times New Roman"/>
                <w:noProof/>
              </w:rPr>
              <w:t xml:space="preserve"> pro recyklaci elektronického odpadu, odpadních baterií a jiných příslušných komplexních výrobků na konci životnosti, při které jsou účinně využívány materiály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Sdílení osvědčených postupů</w:t>
            </w:r>
            <w:r>
              <w:rPr>
                <w:rFonts w:ascii="Times New Roman" w:hAnsi="Times New Roman"/>
                <w:noProof/>
              </w:rPr>
              <w:t xml:space="preserve"> pro opětovné využití kritických surovin z odpadu z těžebního průmyslu a skládek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2017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Stavební a demoliční odpad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Pokyny</w:t>
            </w:r>
            <w:r>
              <w:rPr>
                <w:rFonts w:ascii="Times New Roman" w:hAnsi="Times New Roman"/>
                <w:noProof/>
              </w:rPr>
              <w:t xml:space="preserve"> pro stavební odvětví týkající se posuzování před demolicí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2017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Dobrovolný </w:t>
            </w:r>
            <w:r>
              <w:rPr>
                <w:rFonts w:ascii="Times New Roman" w:hAnsi="Times New Roman"/>
                <w:b/>
                <w:noProof/>
              </w:rPr>
              <w:t>protokol pro recyklaci</w:t>
            </w:r>
            <w:r>
              <w:rPr>
                <w:rFonts w:ascii="Times New Roman" w:hAnsi="Times New Roman"/>
                <w:noProof/>
              </w:rPr>
              <w:t xml:space="preserve"> pro stavební a demoliční odpad platný pro celé odvětví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Hlavní ukazatele</w:t>
            </w:r>
            <w:r>
              <w:rPr>
                <w:rFonts w:ascii="Times New Roman" w:hAnsi="Times New Roman"/>
                <w:noProof/>
              </w:rPr>
              <w:t xml:space="preserve"> pro posouzení environmentálního profilu budov během celého jejich životního cyklu a pobídky pro používání těchto ukazatelů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2017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Biomasa a biologické materiály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Pokyny a šíření osvědčených postupů </w:t>
            </w:r>
            <w:r>
              <w:rPr>
                <w:rFonts w:ascii="Times New Roman" w:hAnsi="Times New Roman"/>
                <w:noProof/>
              </w:rPr>
              <w:t>v oblasti kaskádového využití biomasy a podpora inovací v této oblasti prostřednictvím programu Horizont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2018–2019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Zajištění soudržnosti a součinnosti s oběhovým hospodářstvím při hodnocení udržitelnosti bioenergie v rámci energetické unie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Posuzování příspěvku strategie biohospodářství z roku 2012 k oběhovému hospodářství a případný přezkum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2016 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Inovace a investice</w:t>
            </w:r>
          </w:p>
        </w:tc>
      </w:tr>
      <w:tr w:rsidR="00B21D36">
        <w:trPr>
          <w:trHeight w:val="9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Iniciativa „Průmysl 2020 v oběhovém hospodářství“ v rámci programu Horizont 2020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říjen 2015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Pilotní projekt </w:t>
            </w:r>
            <w:r>
              <w:rPr>
                <w:rFonts w:ascii="Times New Roman" w:hAnsi="Times New Roman"/>
                <w:noProof/>
              </w:rPr>
              <w:t xml:space="preserve">pro „dohody v oblasti inovací“ pro řešení možných regulačních překážek pro inovátory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Cílená informační opatření na podporu podávání žádostí o financování </w:t>
            </w:r>
            <w:r>
              <w:rPr>
                <w:rFonts w:ascii="Times New Roman" w:hAnsi="Times New Roman"/>
                <w:noProof/>
              </w:rPr>
              <w:t xml:space="preserve">v rámci EFSI a podpora rozvoje projektů a investičních platforem pro oběhové hospodářství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Cílená informační a komunikační opatření </w:t>
            </w:r>
            <w:r>
              <w:rPr>
                <w:rFonts w:ascii="Times New Roman" w:hAnsi="Times New Roman"/>
                <w:noProof/>
              </w:rPr>
              <w:t>na podporu členských států a regionů při využívání finančních prostředků v rámci politiky soudržnosti pro oběhové hospodářství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Podpora členských států a regionů </w:t>
            </w:r>
            <w:r>
              <w:rPr>
                <w:rFonts w:ascii="Times New Roman" w:hAnsi="Times New Roman"/>
                <w:noProof/>
              </w:rPr>
              <w:t>na posílení inovací pro oběhové hospodářství prostřednictvím inteligentní specializace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9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Posouzení možnosti spuštění </w:t>
            </w:r>
            <w:r>
              <w:rPr>
                <w:rFonts w:ascii="Times New Roman" w:hAnsi="Times New Roman"/>
                <w:b/>
                <w:noProof/>
              </w:rPr>
              <w:t>platformy společně s EIB a bankami v členských státech</w:t>
            </w:r>
            <w:r>
              <w:rPr>
                <w:rFonts w:ascii="Times New Roman" w:hAnsi="Times New Roman"/>
                <w:noProof/>
              </w:rPr>
              <w:t xml:space="preserve"> na podporu financování oběhového hospodářství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2016</w:t>
            </w:r>
          </w:p>
        </w:tc>
      </w:tr>
      <w:tr w:rsidR="00B21D36">
        <w:trPr>
          <w:trHeight w:val="9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Zapojení zúčastněných stran do provádění tohoto akčního plánu prostřednictvím stávajících fór v klíčových odvětvích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2016</w:t>
            </w:r>
          </w:p>
        </w:tc>
      </w:tr>
      <w:tr w:rsidR="00B21D36">
        <w:trPr>
          <w:trHeight w:val="9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Poskytnutí podpory široké škále zúčastněných stran prostřednictvím opatření týkajících se partnerství veřejného a soukromého sektoru, platforem spolupráce, podpory dobrovolných obchodních přístupů a výměna osvědčených postupů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od roku 2015</w:t>
            </w:r>
          </w:p>
        </w:tc>
      </w:tr>
      <w:tr w:rsidR="00B21D36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36" w:rsidRDefault="00B21D36"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D36" w:rsidRDefault="00B21D36">
            <w:pPr>
              <w:spacing w:after="0" w:line="240" w:lineRule="auto"/>
              <w:rPr>
                <w:rFonts w:ascii="Calibri" w:eastAsia="Times New Roman" w:hAnsi="Calibri" w:cs="Times New Roman"/>
                <w:noProof/>
              </w:rPr>
            </w:pPr>
          </w:p>
        </w:tc>
      </w:tr>
      <w:tr w:rsidR="00B21D36">
        <w:trPr>
          <w:trHeight w:val="30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Sledování</w:t>
            </w:r>
          </w:p>
        </w:tc>
      </w:tr>
      <w:tr w:rsidR="00B21D36">
        <w:trPr>
          <w:trHeight w:val="60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Rozvoj </w:t>
            </w:r>
            <w:r>
              <w:rPr>
                <w:rFonts w:ascii="Times New Roman" w:hAnsi="Times New Roman"/>
                <w:b/>
                <w:noProof/>
              </w:rPr>
              <w:t>rámce sledování</w:t>
            </w:r>
            <w:r>
              <w:rPr>
                <w:rFonts w:ascii="Times New Roman" w:hAnsi="Times New Roman"/>
                <w:noProof/>
              </w:rPr>
              <w:t xml:space="preserve"> pro oběhové hospodářství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D36" w:rsidRDefault="001E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2017</w:t>
            </w:r>
          </w:p>
        </w:tc>
      </w:tr>
    </w:tbl>
    <w:p w:rsidR="00B21D36" w:rsidRDefault="00B21D36">
      <w:pPr>
        <w:rPr>
          <w:noProof/>
        </w:rPr>
      </w:pPr>
    </w:p>
    <w:sectPr w:rsidR="00B21D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36" w:rsidRDefault="001E511B">
      <w:pPr>
        <w:spacing w:after="0" w:line="240" w:lineRule="auto"/>
      </w:pPr>
      <w:r>
        <w:separator/>
      </w:r>
    </w:p>
  </w:endnote>
  <w:endnote w:type="continuationSeparator" w:id="0">
    <w:p w:rsidR="00B21D36" w:rsidRDefault="001E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399"/>
      <w:gridCol w:w="1205"/>
      <w:gridCol w:w="200"/>
      <w:gridCol w:w="2211"/>
      <w:gridCol w:w="69"/>
      <w:gridCol w:w="1133"/>
    </w:tblGrid>
    <w:tr w:rsidR="00995C2B" w:rsidRPr="00D94637" w:rsidTr="00995C2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5C2B" w:rsidRPr="00D94637" w:rsidRDefault="00995C2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995C2B" w:rsidRPr="00B310DC" w:rsidTr="00995C2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5C2B" w:rsidRPr="00AD7BF2" w:rsidRDefault="00995C2B" w:rsidP="004F54B2">
          <w:pPr>
            <w:pStyle w:val="FooterText"/>
          </w:pPr>
          <w:r>
            <w:t>14972/15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5C2B" w:rsidRPr="00AD7BF2" w:rsidRDefault="00995C2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5C2B" w:rsidRPr="002511D8" w:rsidRDefault="00995C2B" w:rsidP="00D94637">
          <w:pPr>
            <w:pStyle w:val="FooterText"/>
            <w:jc w:val="center"/>
          </w:pPr>
          <w:r>
            <w:t>rk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5C2B" w:rsidRPr="00B310DC" w:rsidRDefault="00995C2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995C2B" w:rsidRPr="00D94637" w:rsidTr="00995C2B">
      <w:trPr>
        <w:jc w:val="center"/>
      </w:trPr>
      <w:tc>
        <w:tcPr>
          <w:tcW w:w="1774" w:type="pct"/>
          <w:shd w:val="clear" w:color="auto" w:fill="auto"/>
        </w:tcPr>
        <w:p w:rsidR="00995C2B" w:rsidRPr="00AD7BF2" w:rsidRDefault="00995C2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5C2B" w:rsidRPr="00AD7BF2" w:rsidRDefault="00995C2B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995C2B" w:rsidRPr="00D94637" w:rsidRDefault="00995C2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5C2B" w:rsidRPr="00D94637" w:rsidRDefault="00995C2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  <w:bookmarkEnd w:id="3"/>
  </w:tbl>
  <w:p w:rsidR="00B21D36" w:rsidRPr="00995C2B" w:rsidRDefault="00B21D36" w:rsidP="00995C2B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399"/>
      <w:gridCol w:w="1205"/>
      <w:gridCol w:w="200"/>
      <w:gridCol w:w="2211"/>
      <w:gridCol w:w="69"/>
      <w:gridCol w:w="1133"/>
    </w:tblGrid>
    <w:tr w:rsidR="00995C2B" w:rsidRPr="00D94637" w:rsidTr="00995C2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5C2B" w:rsidRPr="00D94637" w:rsidRDefault="00995C2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95C2B" w:rsidRPr="00B310DC" w:rsidTr="00995C2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5C2B" w:rsidRPr="00AD7BF2" w:rsidRDefault="00995C2B" w:rsidP="004F54B2">
          <w:pPr>
            <w:pStyle w:val="FooterText"/>
          </w:pPr>
          <w:r>
            <w:t>14972/15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5C2B" w:rsidRPr="00AD7BF2" w:rsidRDefault="00995C2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5C2B" w:rsidRPr="002511D8" w:rsidRDefault="00995C2B" w:rsidP="00D94637">
          <w:pPr>
            <w:pStyle w:val="FooterText"/>
            <w:jc w:val="center"/>
          </w:pPr>
          <w:r>
            <w:t>rk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5C2B" w:rsidRPr="00B310DC" w:rsidRDefault="00995C2B" w:rsidP="00D94637">
          <w:pPr>
            <w:pStyle w:val="FooterText"/>
            <w:jc w:val="right"/>
          </w:pPr>
        </w:p>
      </w:tc>
    </w:tr>
    <w:tr w:rsidR="00995C2B" w:rsidRPr="00D94637" w:rsidTr="00995C2B">
      <w:trPr>
        <w:jc w:val="center"/>
      </w:trPr>
      <w:tc>
        <w:tcPr>
          <w:tcW w:w="1774" w:type="pct"/>
          <w:shd w:val="clear" w:color="auto" w:fill="auto"/>
        </w:tcPr>
        <w:p w:rsidR="00995C2B" w:rsidRPr="00AD7BF2" w:rsidRDefault="00995C2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5C2B" w:rsidRPr="00AD7BF2" w:rsidRDefault="00995C2B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995C2B" w:rsidRPr="00D94637" w:rsidRDefault="00995C2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5C2B" w:rsidRPr="00D94637" w:rsidRDefault="00995C2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</w:tbl>
  <w:p w:rsidR="00B21D36" w:rsidRPr="00995C2B" w:rsidRDefault="00B21D36" w:rsidP="00995C2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B" w:rsidRDefault="001E51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B" w:rsidRDefault="001E511B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 xml:space="preserve"> </w:t>
    </w:r>
    <w:r>
      <w:tab/>
    </w:r>
    <w:r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B" w:rsidRDefault="001E511B">
    <w:pPr>
      <w:pStyle w:val="FooterCover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36" w:rsidRDefault="00B21D36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118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D36" w:rsidRDefault="001E51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D36" w:rsidRDefault="00B21D3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36" w:rsidRDefault="00B2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36" w:rsidRDefault="001E511B">
      <w:pPr>
        <w:spacing w:after="0" w:line="240" w:lineRule="auto"/>
      </w:pPr>
      <w:r>
        <w:separator/>
      </w:r>
    </w:p>
  </w:footnote>
  <w:footnote w:type="continuationSeparator" w:id="0">
    <w:p w:rsidR="00B21D36" w:rsidRDefault="001E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B" w:rsidRDefault="001E5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B" w:rsidRDefault="001E511B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B" w:rsidRDefault="001E511B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36" w:rsidRDefault="00B21D3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36" w:rsidRDefault="00B21D3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36" w:rsidRDefault="00B21D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9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13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_EXISTS" w:val="True"/>
    <w:docVar w:name="CoverPageOnWordDoc" w:val="true"/>
    <w:docVar w:name="DocStatus" w:val="Green"/>
    <w:docVar w:name="DocuWriteMetaData" w:val="&lt;metadataset docuwriteversion=&quot;3.6.7&quot; technicalblockguid=&quot;ad965982-717f-48b9-b3e5-d326dabcf204&quot;&gt;_x000d__x000a_  &lt;metadata key=&quot;md_DocumentLanguages&quot;&gt;_x000d__x000a_    &lt;basicdatatypelist&gt;_x000d__x000a_      &lt;language key=&quot;CS&quot; text=&quot;C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PR&amp;#366;VODNÍ POZNÁMKA&quot; /&gt;_x000d__x000a_    &lt;/basicdatatype&gt;_x000d__x000a_  &lt;/metadata&gt;_x000d__x000a_  &lt;metadata key=&quot;md_HeadingText&quot;&gt;_x000d__x000a_    &lt;headingtext text=&quot;PR&amp;#366;VODNÍ POZNÁMKA&quot;&gt;_x000d__x000a_      &lt;formattedtext&gt;_x000d__x000a_        &lt;xaml text=&quot;PR&amp;#366;VODNÍ POZNÁMKA&quot;&gt;&amp;lt;FlowDocument xmlns=&quot;http://schemas.microsoft.com/winfx/2006/xaml/presentation&quot;&amp;gt;&amp;lt;Paragraph&amp;gt;PR&amp;#366;VODNÍ POZNÁMK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Rada Evropské uni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el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&lt;/text&gt;_x000d__x000a_  &lt;/metadata&gt;_x000d__x000a_  &lt;metadata key=&quot;md_DocumentNumber&quot;&gt;_x000d__x000a_    &lt;text&gt;1497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NV 768&lt;/text&gt;_x000d__x000a_      &lt;text&gt;COMPET 557&lt;/text&gt;_x000d__x000a_      &lt;text&gt;AGRI 642&lt;/text&gt;_x000d__x000a_      &lt;text&gt;TRANS 402&lt;/text&gt;_x000d__x000a_      &lt;text&gt;MI 779&lt;/text&gt;_x000d__x000a_      &lt;text&gt;IND 201&lt;/text&gt;_x000d__x000a_      &lt;text&gt;CONSOM 212&lt;/text&gt;_x000d__x000a_      &lt;text&gt;ECOFIN 954&lt;/text&gt;_x000d__x000a_      &lt;text&gt;ENER 417&lt;/text&gt;_x000d__x000a_      &lt;text&gt;RECH 305&lt;/text&gt;_x000d__x000a_      &lt;text&gt;SAN 42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1&quot; text=&quot;Jordi AYET PUIGARNAU, &amp;#345;editel, za generálního tajemníka Evropské komise&quot; /&gt;_x000d__x000a_    &lt;/basicdatatype&gt;_x000d__x000a_  &lt;/metadata&gt;_x000d__x000a_  &lt;metadata key=&quot;md_Recipient&quot;&gt;_x000d__x000a_    &lt;basicdatatype&gt;_x000d__x000a_      &lt;recipient key=&quot;re_02&quot; text=&quot;Jeppe TRANHOLM-MIKKELSEN, generální tajemník Rady Evropské unie&quot; /&gt;_x000d__x000a_    &lt;/basicdatatype&gt;_x000d__x000a_  &lt;/metadata&gt;_x000d__x000a_  &lt;metadata key=&quot;md_DateOfReceipt&quot;&gt;_x000d__x000a_    &lt;text&gt;2015-12-03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15) 614 final - ANNEX 1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&amp;#344;ÍLOHA SD&amp;#282;LENÍ KOMISE EVROPSKÉMU PARLAMENTU, RAD&amp;#282;, EVROPSKÉMU HOSPODÁ&amp;#344;SKÉMU A SOCIÁLNÍMU VÝBORU  A VÝBORU REGION&amp;#366; Uzav&amp;#345;ení cyklu &amp;#8211; ak&amp;#269;ní plán EU pro ob&amp;#283;hové hospodá&amp;#345;ství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xml:space=&quot;preserve&quot;&amp;gt;P&amp;#344;ÍLOHA SD&amp;#282;LENÍ KOMISE EVROPSKÉMU PARLAMENTU, RAD&amp;#282;, EVROPSKÉMU HOSPODÁ&amp;#344;SKÉMU A SOCIÁLNÍMU VÝBORU &amp;lt;LineBreak /&amp;gt;A VÝBORU REGION&amp;#366; Uzav&amp;#345;ení cyklu &amp;#8211; ak&amp;#269;ní plán EU pro ob&amp;#283;hové hospodá&amp;#345;ství&amp;lt;/Paragraph&amp;gt;&amp;lt;/FlowDocument&amp;gt;&lt;/xaml&gt;_x000d__x000a_  &lt;/metadata&gt;_x000d__x000a_  &lt;metadata key=&quot;md_SubjectFootnote&quot; /&gt;_x000d__x000a_  &lt;metadata key=&quot;md_DG&quot;&gt;_x000d__x000a_    &lt;text&gt;DG E 1A&lt;/text&gt;_x000d__x000a_  &lt;/metadata&gt;_x000d__x000a_  &lt;metadata key=&quot;md_Initials&quot;&gt;_x000d__x000a_    &lt;text&gt;rk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CS&lt;/text&gt;_x000d__x000a_  &lt;/metadata&gt;_x000d__x000a_  &lt;metadata key=&quot;md_SourceDocType&quot;&gt;_x000d__x000a_    &lt;text&gt;P&amp;#344;ÍLOHA_x000d__x000a_&lt;/text&gt;_x000d__x000a_  &lt;/metadata&gt;_x000d__x000a_  &lt;metadata key=&quot;md_SourceDocTitle&quot;&gt;_x000d__x000a_    &lt;text&gt;[&amp;#8230;] _x000d__x000a_SD&amp;#282;LENÍ KOMISE EVROPSKÉMU PARLAMENTU, RAD&amp;#282;, EVROPSKÉMU HOSPODÁ&amp;#344;SKÉMU A SOCIÁLNÍMU VÝBORU A VÝBORU REGION&amp;#366; _x000d__x000a_Uzav&amp;#345;ení cyklu &amp;#8211; ak&amp;#269;ní plán EU pro ob&amp;#283;hové hospodá&amp;#345;ství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LW_ACCOMPAGNANT.CP" w:val="&lt;EMPTY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5AF6BF28AD7429891F2FF17FB56E7D6"/>
    <w:docVar w:name="LW_CROSSREFERENCE" w:val="&lt;UNUSED&gt;"/>
    <w:docVar w:name="LW_DocType" w:val="NORMAL"/>
    <w:docVar w:name="LW_EMISSION" w:val="2.12.2015"/>
    <w:docVar w:name="LW_EMISSION_ISODATE" w:val="2015-12-02"/>
    <w:docVar w:name="LW_EMISSION_LOCATION" w:val="BRX"/>
    <w:docVar w:name="LW_EMISSION_PREFIX" w:val="V Bruselu dne "/>
    <w:docVar w:name="LW_EMISSION_SUFFIX" w:val=" "/>
    <w:docVar w:name="LW_ID_DOCTYPE_NONLW" w:val="CP-039"/>
    <w:docVar w:name="LW_LANGUE" w:val="CS"/>
    <w:docVar w:name="LW_MARKING" w:val="&lt;UNUSED&gt;"/>
    <w:docVar w:name="LW_NOM.INST" w:val="EVROPSKÁ KOMISE"/>
    <w:docVar w:name="LW_NOM.INST_JOINTDOC" w:val="&lt;EMPTY&gt;"/>
    <w:docVar w:name="LW_OBJETACTEPRINCIPAL.CP" w:val="Uzav\u345?ení cyklu \u8211? ak\u269?ní plán EU pro ob\u283?hové hospodá\u345?ství"/>
    <w:docVar w:name="LW_PART_NBR" w:val="1"/>
    <w:docVar w:name="LW_PART_NBR_TOTAL" w:val="1"/>
    <w:docVar w:name="LW_REF.INST.NEW" w:val="COM"/>
    <w:docVar w:name="LW_REF.INST.NEW_ADOPTED" w:val="final"/>
    <w:docVar w:name="LW_REF.INST.NEW_TEXT" w:val="(2015) 614"/>
    <w:docVar w:name="LW_REF.INTERNE" w:val="&lt;UNUSED&gt;"/>
    <w:docVar w:name="LW_SUPERTITRE" w:val="&lt;UNUSED&gt;"/>
    <w:docVar w:name="LW_TITRE.OBJ.CP" w:val="&lt;UNUSED&gt;"/>
    <w:docVar w:name="LW_TYPE.DOC.CP" w:val="P\u344?ÍLOHA_x000b_"/>
    <w:docVar w:name="LW_TYPEACTEPRINCIPAL.CP" w:val="SD\u282?LENÍ KOMISE EVROPSKÉMU PARLAMENTU, RAD\u282?, EVROPSKÉMU HOSPODÁ\u344?SKÉMU A SOCIÁLNÍMU VÝBORU A VÝBORU REGION\u366?"/>
  </w:docVars>
  <w:rsids>
    <w:rsidRoot w:val="00B21D36"/>
    <w:rsid w:val="001E511B"/>
    <w:rsid w:val="00995C2B"/>
    <w:rsid w:val="00B2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1E511B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Normal"/>
    <w:next w:val="Normal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">
    <w:name w:val="List Bullet"/>
    <w:basedOn w:val="Normal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Bullet1">
    <w:name w:val="List Bullet 1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2">
    <w:name w:val="List Bullet 2"/>
    <w:basedOn w:val="Normal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3">
    <w:name w:val="List Bullet 3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4">
    <w:name w:val="List Bullet 4"/>
    <w:basedOn w:val="Normal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">
    <w:name w:val="List Dash"/>
    <w:basedOn w:val="Normal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1">
    <w:name w:val="List Dash 1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2">
    <w:name w:val="List Dash 2"/>
    <w:basedOn w:val="Normal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3">
    <w:name w:val="List Dash 3"/>
    <w:basedOn w:val="Normal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4">
    <w:name w:val="List Dash 4"/>
    <w:basedOn w:val="Normal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">
    <w:name w:val="List Number"/>
    <w:basedOn w:val="Normal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">
    <w:name w:val="List Number 1"/>
    <w:basedOn w:val="Normal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2">
    <w:name w:val="List Number 2"/>
    <w:basedOn w:val="Normal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3">
    <w:name w:val="List Number 3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4">
    <w:name w:val="List Number 4"/>
    <w:basedOn w:val="Normal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Level2">
    <w:name w:val="List Number 1 (Level 2)"/>
    <w:basedOn w:val="Normal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2Level2">
    <w:name w:val="List Number 2 (Level 2)"/>
    <w:basedOn w:val="Normal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Level3">
    <w:name w:val="List Number 1 (Level 3)"/>
    <w:basedOn w:val="Normal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2Level3">
    <w:name w:val="List Number 2 (Level 3)"/>
    <w:basedOn w:val="Normal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Level4">
    <w:name w:val="List Number 1 (Level 4)"/>
    <w:basedOn w:val="Normal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2Level4">
    <w:name w:val="List Number 2 (Level 4)"/>
    <w:basedOn w:val="Normal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qFormat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customStyle="1" w:styleId="TechnicalBlock">
    <w:name w:val="Technical Block"/>
    <w:basedOn w:val="Normal"/>
    <w:link w:val="TechnicalBlockChar"/>
    <w:rsid w:val="001E511B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1E511B"/>
  </w:style>
  <w:style w:type="paragraph" w:customStyle="1" w:styleId="EntText">
    <w:name w:val="EntText"/>
    <w:basedOn w:val="Normal"/>
    <w:rsid w:val="001E511B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Lignefinal">
    <w:name w:val="Ligne final"/>
    <w:basedOn w:val="Normal"/>
    <w:next w:val="Normal"/>
    <w:rsid w:val="001E511B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eastAsia="Times New Roman" w:hAnsi="Times New Roman" w:cs="Times New Roman"/>
      <w:b/>
      <w:sz w:val="24"/>
      <w:szCs w:val="24"/>
      <w:lang w:eastAsia="en-US" w:bidi="ar-SA"/>
    </w:rPr>
  </w:style>
  <w:style w:type="paragraph" w:customStyle="1" w:styleId="pj">
    <w:name w:val="p.j."/>
    <w:basedOn w:val="Normal"/>
    <w:link w:val="pjChar"/>
    <w:rsid w:val="001E511B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TechnicalBlockChar"/>
    <w:link w:val="pj"/>
    <w:rsid w:val="001E511B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1E511B"/>
    <w:pPr>
      <w:spacing w:after="0"/>
    </w:pPr>
    <w:rPr>
      <w:rFonts w:ascii="Times New Roman" w:hAnsi="Times New Roman"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1E511B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1E511B"/>
    <w:pPr>
      <w:spacing w:after="440"/>
    </w:pPr>
    <w:rPr>
      <w:rFonts w:ascii="Times New Roman" w:hAnsi="Times New Roman"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1E511B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1E511B"/>
    <w:pPr>
      <w:spacing w:after="0"/>
    </w:pPr>
    <w:rPr>
      <w:rFonts w:ascii="Times New Roman" w:hAnsi="Times New Roman"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1E511B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1E5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1E511B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Normal"/>
    <w:next w:val="Normal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">
    <w:name w:val="List Bullet"/>
    <w:basedOn w:val="Normal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Bullet1">
    <w:name w:val="List Bullet 1"/>
    <w:basedOn w:val="Normal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2">
    <w:name w:val="List Bullet 2"/>
    <w:basedOn w:val="Normal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3">
    <w:name w:val="List Bullet 3"/>
    <w:basedOn w:val="Normal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Bullet4">
    <w:name w:val="List Bullet 4"/>
    <w:basedOn w:val="Normal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">
    <w:name w:val="List Dash"/>
    <w:basedOn w:val="Normal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1">
    <w:name w:val="List Dash 1"/>
    <w:basedOn w:val="Normal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2">
    <w:name w:val="List Dash 2"/>
    <w:basedOn w:val="Normal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3">
    <w:name w:val="List Dash 3"/>
    <w:basedOn w:val="Normal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Dash4">
    <w:name w:val="List Dash 4"/>
    <w:basedOn w:val="Normal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">
    <w:name w:val="List Number"/>
    <w:basedOn w:val="Normal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">
    <w:name w:val="List Number 1"/>
    <w:basedOn w:val="Normal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2">
    <w:name w:val="List Number 2"/>
    <w:basedOn w:val="Normal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3">
    <w:name w:val="List Number 3"/>
    <w:basedOn w:val="Normal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ListNumber4">
    <w:name w:val="List Number 4"/>
    <w:basedOn w:val="Normal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Level2">
    <w:name w:val="List Number 1 (Level 2)"/>
    <w:basedOn w:val="Normal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2Level2">
    <w:name w:val="List Number 2 (Level 2)"/>
    <w:basedOn w:val="Normal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Level3">
    <w:name w:val="List Number 1 (Level 3)"/>
    <w:basedOn w:val="Normal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2Level3">
    <w:name w:val="List Number 2 (Level 3)"/>
    <w:basedOn w:val="Normal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1Level4">
    <w:name w:val="List Number 1 (Level 4)"/>
    <w:basedOn w:val="Normal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2Level4">
    <w:name w:val="List Number 2 (Level 4)"/>
    <w:basedOn w:val="Normal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qFormat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customStyle="1" w:styleId="TechnicalBlock">
    <w:name w:val="Technical Block"/>
    <w:basedOn w:val="Normal"/>
    <w:link w:val="TechnicalBlockChar"/>
    <w:rsid w:val="001E511B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1E511B"/>
  </w:style>
  <w:style w:type="paragraph" w:customStyle="1" w:styleId="EntText">
    <w:name w:val="EntText"/>
    <w:basedOn w:val="Normal"/>
    <w:rsid w:val="001E511B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Lignefinal">
    <w:name w:val="Ligne final"/>
    <w:basedOn w:val="Normal"/>
    <w:next w:val="Normal"/>
    <w:rsid w:val="001E511B"/>
    <w:pPr>
      <w:pBdr>
        <w:bottom w:val="single" w:sz="4" w:space="0" w:color="000000"/>
      </w:pBdr>
      <w:spacing w:before="360" w:after="120" w:line="360" w:lineRule="auto"/>
      <w:ind w:left="3400" w:right="3400"/>
      <w:jc w:val="center"/>
    </w:pPr>
    <w:rPr>
      <w:rFonts w:ascii="Times New Roman" w:eastAsia="Times New Roman" w:hAnsi="Times New Roman" w:cs="Times New Roman"/>
      <w:b/>
      <w:sz w:val="24"/>
      <w:szCs w:val="24"/>
      <w:lang w:eastAsia="en-US" w:bidi="ar-SA"/>
    </w:rPr>
  </w:style>
  <w:style w:type="paragraph" w:customStyle="1" w:styleId="pj">
    <w:name w:val="p.j."/>
    <w:basedOn w:val="Normal"/>
    <w:link w:val="pjChar"/>
    <w:rsid w:val="001E511B"/>
    <w:pPr>
      <w:spacing w:before="1200" w:after="120" w:line="240" w:lineRule="auto"/>
      <w:ind w:left="1440" w:hanging="1440"/>
    </w:pPr>
    <w:rPr>
      <w:rFonts w:ascii="Times New Roman" w:hAnsi="Times New Roman" w:cs="Times New Roman"/>
      <w:sz w:val="24"/>
    </w:rPr>
  </w:style>
  <w:style w:type="character" w:customStyle="1" w:styleId="pjChar">
    <w:name w:val="p.j. Char"/>
    <w:basedOn w:val="TechnicalBlockChar"/>
    <w:link w:val="pj"/>
    <w:rsid w:val="001E511B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1E511B"/>
    <w:pPr>
      <w:spacing w:after="0"/>
    </w:pPr>
    <w:rPr>
      <w:rFonts w:ascii="Times New Roman" w:hAnsi="Times New Roman"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1E511B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1E511B"/>
    <w:pPr>
      <w:spacing w:after="440"/>
    </w:pPr>
    <w:rPr>
      <w:rFonts w:ascii="Times New Roman" w:hAnsi="Times New Roman"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1E511B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1E511B"/>
    <w:pPr>
      <w:spacing w:after="0"/>
    </w:pPr>
    <w:rPr>
      <w:rFonts w:ascii="Times New Roman" w:hAnsi="Times New Roman"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1E511B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1E5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DOMINICIS Ariane (SG)</dc:creator>
  <cp:lastModifiedBy>KUNCOVA Romana</cp:lastModifiedBy>
  <cp:revision>2</cp:revision>
  <cp:lastPrinted>2015-12-09T10:31:00Z</cp:lastPrinted>
  <dcterms:created xsi:type="dcterms:W3CDTF">2015-12-09T10:33:00Z</dcterms:created>
  <dcterms:modified xsi:type="dcterms:W3CDTF">2015-12-09T10:33:00Z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  <property fmtid="{D5CDD505-2E9C-101B-9397-08002B2CF9AE}" pid="8" name="ELDocType">
    <vt:lpwstr>REP.DOT</vt:lpwstr>
  </property>
  <property fmtid="{D5CDD505-2E9C-101B-9397-08002B2CF9AE}" pid="9" name="Created using">
    <vt:lpwstr>DocuWrite 3.6.7, Build 20150916</vt:lpwstr>
  </property>
  <property fmtid="{D5CDD505-2E9C-101B-9397-08002B2CF9AE}" pid="10" name="Last edited using">
    <vt:lpwstr>DocuWrite 3.6.7, Build 20150916</vt:lpwstr>
  </property>
</Properties>
</file>