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1B" w:rsidRPr="0025775A" w:rsidRDefault="0025775A" w:rsidP="0025775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f469e0c4-1e5d-4954-83d3-d24fe61f7cee_0" style="width:568.5pt;height:416.1pt">
            <v:imagedata r:id="rId9" o:title=""/>
          </v:shape>
        </w:pict>
      </w:r>
      <w:bookmarkEnd w:id="0"/>
    </w:p>
    <w:p w:rsidR="00A1221B" w:rsidRPr="002C00DF" w:rsidRDefault="002C00DF" w:rsidP="0025775A">
      <w:pPr>
        <w:pStyle w:val="EntText"/>
        <w:spacing w:before="480"/>
      </w:pPr>
      <w:bookmarkStart w:id="2" w:name="TBDW_28b086870df046e9a36571f5e3edaff8"/>
      <w:r w:rsidRPr="002C00DF">
        <w:t xml:space="preserve">Delegace naleznou v příloze dokument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25775A" w:rsidRPr="0025775A">
        <w:instrText>COM(2015) 593 final</w:instrText>
      </w:r>
      <w:r>
        <w:instrText xml:space="preserve">" </w:instrText>
      </w:r>
      <w:r>
        <w:fldChar w:fldCharType="separate"/>
      </w:r>
      <w:r w:rsidR="0025775A" w:rsidRPr="0025775A">
        <w:t>COM(2015) 593 final</w:t>
      </w:r>
      <w:r>
        <w:fldChar w:fldCharType="end"/>
      </w:r>
      <w:r w:rsidRPr="002C00DF">
        <w:t>.</w:t>
      </w:r>
      <w:bookmarkEnd w:id="2"/>
    </w:p>
    <w:p w:rsidR="00A1221B" w:rsidRPr="002C00DF" w:rsidRDefault="00A1221B" w:rsidP="00A1221B">
      <w:pPr>
        <w:pStyle w:val="Lignefinal"/>
      </w:pPr>
    </w:p>
    <w:p w:rsidR="00A1221B" w:rsidRPr="002C00DF" w:rsidRDefault="002C00DF" w:rsidP="0025775A">
      <w:pPr>
        <w:pStyle w:val="pj"/>
        <w:spacing w:before="120"/>
      </w:pPr>
      <w:bookmarkStart w:id="3" w:name="TBDW_f7edbc5dcaae43a1849f41e7312de80b"/>
      <w:r w:rsidRPr="002C00DF">
        <w:t xml:space="preserve">Příloha: </w:t>
      </w:r>
      <w:bookmarkEnd w:id="3"/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25775A" w:rsidRPr="0025775A">
        <w:instrText>COM(2015) 593 final</w:instrText>
      </w:r>
      <w:r>
        <w:instrText xml:space="preserve">" </w:instrText>
      </w:r>
      <w:r>
        <w:fldChar w:fldCharType="separate"/>
      </w:r>
      <w:r w:rsidR="0025775A" w:rsidRPr="0025775A">
        <w:t>COM(2015) 593 final</w:t>
      </w:r>
      <w:r>
        <w:fldChar w:fldCharType="end"/>
      </w:r>
    </w:p>
    <w:p w:rsidR="00A1221B" w:rsidRPr="002C00DF" w:rsidRDefault="00A1221B" w:rsidP="00A1221B">
      <w:pPr>
        <w:rPr>
          <w:noProof/>
        </w:rPr>
        <w:sectPr w:rsidR="00A1221B" w:rsidRPr="002C00DF" w:rsidSect="002C00DF">
          <w:footerReference w:type="default" r:id="rId10"/>
          <w:footerReference w:type="first" r:id="rId11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25775A" w:rsidRPr="00222128" w:rsidRDefault="0025775A" w:rsidP="0025775A">
      <w:pPr>
        <w:pStyle w:val="Pagedecouverture"/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24525" cy="5543550"/>
            <wp:effectExtent l="0" t="0" r="0" b="0"/>
            <wp:docPr id="2" name="Picture 2" descr="C43E61FAA31749A383C3DCB8DBFBE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3E61FAA31749A383C3DCB8DBFBE03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5A" w:rsidRPr="00222128" w:rsidRDefault="0025775A" w:rsidP="0025775A">
      <w:pPr>
        <w:rPr>
          <w:rFonts w:eastAsia="SimSun"/>
          <w:noProof/>
        </w:rPr>
        <w:sectPr w:rsidR="0025775A" w:rsidRPr="00222128" w:rsidSect="00CF3F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5775A" w:rsidRPr="00222128" w:rsidRDefault="0025775A" w:rsidP="0025775A">
      <w:pPr>
        <w:pStyle w:val="Exposdesmotifstitre"/>
        <w:rPr>
          <w:noProof/>
        </w:rPr>
      </w:pPr>
      <w:r w:rsidRPr="00222128">
        <w:t>DŮVODOVÁ ZPRÁVA</w:t>
      </w:r>
    </w:p>
    <w:p w:rsidR="0025775A" w:rsidRPr="00222128" w:rsidRDefault="0025775A" w:rsidP="0025775A">
      <w:pPr>
        <w:rPr>
          <w:noProof/>
        </w:rPr>
      </w:pPr>
    </w:p>
    <w:p w:rsidR="0025775A" w:rsidRPr="00222128" w:rsidRDefault="0025775A" w:rsidP="0025775A">
      <w:pPr>
        <w:pStyle w:val="ManualHeading1"/>
        <w:spacing w:before="120"/>
        <w:rPr>
          <w:noProof/>
        </w:rPr>
      </w:pPr>
      <w:r w:rsidRPr="00222128">
        <w:t>1.</w:t>
      </w:r>
      <w:r w:rsidRPr="00222128">
        <w:tab/>
        <w:t>SOUVISLOSTI NÁVRHU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1.1</w:t>
      </w:r>
      <w:r w:rsidRPr="00222128">
        <w:tab/>
        <w:t>Obecné souvislosti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 xml:space="preserve">Hospodářství Unie v současnosti přichází o značné množství potenciálních recyklovaných surovin, jež se nacházejí v tocích odpadů. V roce 2013 činila celková produkce odpadů v EU přibližně 2,5 miliardy tun, z toho 1,6 miliardy tun nebylo opětovně použito nebo recyklováno, a bylo tedy pro evropské hospodářství ztraceno. Odhaduje se, že by se mohlo recyklovat nebo opětovně použít dalších 600 milionů tun. Recyklován byl například pouze omezený (43%) podíl komunálního odpadu vzniklého v Unii a zbytek byl uložen na skládky (31 %) nebo spálen (26 %). Unie tak přichází o významné příležitosti k účinnějšímu využívání zdrojů a posílení oběhového hospodářství. 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Unie se rovněž potýká s velkými rozdíly mezi svými členskými státy, pokud jde o nakládání s odpady. V roce 2011 uložilo šest členských států na skládky méně než 3 % svého komunálního odpadu, zatímco 18 členských států uložilo na skládky více než 50 % komunálního odpadu, přičemž v některých státech to bylo více než 90 % tohoto odpadu. Tuto nevyrovnanou situaci je naléhavě nutné změnit.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Návrhy na změnu směrnice 2008/98/ES o odpadech</w:t>
      </w:r>
      <w:r w:rsidRPr="00222128">
        <w:rPr>
          <w:rStyle w:val="FootnoteReference"/>
          <w:noProof/>
        </w:rPr>
        <w:footnoteReference w:id="2"/>
      </w:r>
      <w:r w:rsidRPr="00222128">
        <w:t>, směrnice 94/62/ES o obalech a obalových odpadech</w:t>
      </w:r>
      <w:r w:rsidRPr="00222128">
        <w:rPr>
          <w:rStyle w:val="FootnoteReference"/>
          <w:noProof/>
        </w:rPr>
        <w:footnoteReference w:id="3"/>
      </w:r>
      <w:r w:rsidRPr="00222128">
        <w:t>, směrnice 1999/31/ES o skládkách odpadů</w:t>
      </w:r>
      <w:r w:rsidRPr="00222128">
        <w:rPr>
          <w:rStyle w:val="FootnoteReference"/>
          <w:noProof/>
        </w:rPr>
        <w:footnoteReference w:id="4"/>
      </w:r>
      <w:r w:rsidRPr="00222128">
        <w:t>, směrnice 2000/53/ES o vozidlech s ukončenou životností</w:t>
      </w:r>
      <w:r w:rsidRPr="00222128">
        <w:rPr>
          <w:rStyle w:val="FootnoteReference"/>
          <w:noProof/>
        </w:rPr>
        <w:footnoteReference w:id="5"/>
      </w:r>
      <w:r w:rsidRPr="00222128">
        <w:t>, směrnice 2006/66/ES o bateriích a akumulátorech a odpadních bateriích a akumulátorech</w:t>
      </w:r>
      <w:r w:rsidRPr="00222128">
        <w:rPr>
          <w:rStyle w:val="FootnoteReference"/>
          <w:noProof/>
        </w:rPr>
        <w:footnoteReference w:id="6"/>
      </w:r>
      <w:r w:rsidRPr="00222128">
        <w:t xml:space="preserve"> a směrnice 2012/19/EU o odpadních elektrických a elektronických zařízeních</w:t>
      </w:r>
      <w:r w:rsidRPr="00222128">
        <w:rPr>
          <w:rStyle w:val="FootnoteReference"/>
          <w:noProof/>
        </w:rPr>
        <w:footnoteReference w:id="7"/>
      </w:r>
      <w:r w:rsidRPr="00222128">
        <w:t xml:space="preserve"> tvoří součást balíčku pro oběhové hospodářství, který také zahrnuje sdělení Komise „Uzavření cyklu – akční plán EU pro oběhové hospodářství“.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1.2</w:t>
      </w:r>
      <w:r w:rsidRPr="00222128">
        <w:tab/>
        <w:t>Odůvodnění a cíle návrhu</w:t>
      </w:r>
    </w:p>
    <w:p w:rsidR="0025775A" w:rsidRPr="00222128" w:rsidRDefault="0025775A" w:rsidP="0025775A">
      <w:pPr>
        <w:rPr>
          <w:noProof/>
        </w:rPr>
      </w:pPr>
      <w:r w:rsidRPr="00222128">
        <w:t>Nejnovější tendence naznačují, že je možné dosáhnout dalšího pokroku, pokud jde o účinné využívání zdrojů, což může přinést významné hospodářské, environmentální a sociální výhody. Přeměna odpadů na zdroj je nezbytnou součástí účinnějšího využívání zdrojů a uzavření cyklu v oběhovém hospodářství.</w:t>
      </w:r>
    </w:p>
    <w:p w:rsidR="0025775A" w:rsidRPr="00222128" w:rsidRDefault="0025775A" w:rsidP="0025775A">
      <w:pPr>
        <w:rPr>
          <w:noProof/>
        </w:rPr>
      </w:pPr>
      <w:r w:rsidRPr="00222128">
        <w:t>Stanovení právně závazných cílů v právních předpisech EU o odpadech je hlavní hybnou silou zlepšování postupů nakládání s odpady, podněcování inovací v oblasti recyklace, omezeného využívání skládkování a vytváření pobídek ke změně chování spotřebitelů. Další rozvoj politiky nakládání s odpady může přinést značné výhody: udržitelný růst a vytváření pracovních příležitostí, snížení emisí skleníkových plynů, přímé úspory spojené s lepšími postupy při nakládání s odpady a lepší životní prostředí.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Tento návrh na změnu směrnice 2008/98/ES reaguje na právní povinnost přezkoumat cíle v oblasti nakládání s odpady stanovené v uvedené směrnici. Návrhy, které jsou součástí balíčku pro oběhové hospodářství a mění šest výše uvedených směrnic, částečně vycházejí z návrhu, který Komise předložila v červenci 2014 a následně v únoru 2015 stáhla. Jsou v souladu s cíli plánu účinného využívání zdrojů</w:t>
      </w:r>
      <w:r w:rsidRPr="00222128">
        <w:rPr>
          <w:rStyle w:val="FootnoteReference"/>
          <w:noProof/>
        </w:rPr>
        <w:footnoteReference w:id="8"/>
      </w:r>
      <w:r w:rsidRPr="00222128">
        <w:t xml:space="preserve"> a 7. akčního programu pro životní prostředí</w:t>
      </w:r>
      <w:r w:rsidRPr="00222128">
        <w:rPr>
          <w:rStyle w:val="FootnoteReference"/>
          <w:noProof/>
        </w:rPr>
        <w:footnoteReference w:id="9"/>
      </w:r>
      <w:r w:rsidRPr="00222128">
        <w:t>, včetně úplného zavedení hierarchie způsobu nakládání s odpady</w:t>
      </w:r>
      <w:r w:rsidRPr="00222128">
        <w:rPr>
          <w:rStyle w:val="FootnoteReference"/>
          <w:noProof/>
        </w:rPr>
        <w:footnoteReference w:id="10"/>
      </w:r>
      <w:r w:rsidRPr="00222128">
        <w:t xml:space="preserve"> ve všech členských státech, snížení produkce odpadů v absolutním vyjádření i produkce odpadu na obyvatele, zajištění vysoce kvalitní recyklace a používání recyklovaného odpadu jako významného a spolehlivého zdroje surovin pro Unii. Zároveň přispívají k provádění iniciativy EU v oblasti surovin</w:t>
      </w:r>
      <w:r w:rsidRPr="00222128">
        <w:rPr>
          <w:rStyle w:val="FootnoteReference"/>
          <w:noProof/>
        </w:rPr>
        <w:footnoteReference w:id="11"/>
      </w:r>
      <w:r w:rsidRPr="00222128">
        <w:t xml:space="preserve"> a řeší potřebu zamezit plýtvání potravinami. Tyto návrhy mimoto zjednodušují požadavky na předkládání zpráv, které jsou obsaženy ve všech šesti směrnicích.</w:t>
      </w:r>
    </w:p>
    <w:p w:rsidR="0025775A" w:rsidRPr="00222128" w:rsidRDefault="0025775A" w:rsidP="0025775A">
      <w:pPr>
        <w:pStyle w:val="ManualHeading1"/>
        <w:spacing w:before="120"/>
        <w:rPr>
          <w:noProof/>
        </w:rPr>
      </w:pPr>
      <w:r w:rsidRPr="00222128">
        <w:t>2.</w:t>
      </w:r>
      <w:r w:rsidRPr="00222128">
        <w:tab/>
        <w:t>VÝSLEDKY KONZULTACÍ SE ZÚČASTNĚNÝMI STRANAMI A POSOUZENÍ DOPADŮ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2.1</w:t>
      </w:r>
      <w:r w:rsidRPr="00222128">
        <w:tab/>
        <w:t>Studie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Návrhy a doprovodné posouzení dopadů posuzují technické a sociálně-ekonomické přínosy a náklady související s prováděním a dalším rozvojem právních předpisů EU o odpadech. Byl vypracován dodatek k posouzení dopadů, který analyzuje potenciální účinky dalších variant hlavních možností politiky definovaných v posouzení dopadů.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2.2</w:t>
      </w:r>
      <w:r w:rsidRPr="00222128">
        <w:tab/>
        <w:t>Interní konzultace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 xml:space="preserve">V rámci Komise sledovala přípravu legislativních návrhů řídící skupina pro posouzení dopadů složená z různých útvarů Komise (SG, ECFIN, GROW, CLIMA, JRC a ESTAT). 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2.3</w:t>
      </w:r>
      <w:r w:rsidRPr="00222128">
        <w:tab/>
        <w:t>Externí konzultace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 xml:space="preserve">Komise vypracovala orientační seznam problémů, jimiž je třeba se zabývat, a první pohovory s hlavními zúčastněnými stranami byly zahájeny v únoru 2013. Internetové veřejné konzultace byly v souladu s minimálními normami pro konzultace zahájeny v červnu 2013 a ukončeny v září 2013. Zasláno bylo 670 odpovědí, což odráží vysoký zájem veřejnosti o situaci v oblasti nakládání s odpady v EU a velká očekávání, pokud jde o opatření EU v této oblasti. V období od června do září 2015 se uskutečnily specifické konzultace s členskými státy a rovněž širší konzultace týkající se oběhového hospodářství. 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2.4</w:t>
      </w:r>
      <w:r w:rsidRPr="00222128">
        <w:tab/>
        <w:t>Posouzení dopadů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Zpráva o posouzení dopadů a její shrnutí byly zveřejněny spolu s návrhem přijatým v červenci 2014</w:t>
      </w:r>
      <w:r w:rsidRPr="00222128">
        <w:rPr>
          <w:rStyle w:val="FootnoteReference"/>
          <w:noProof/>
        </w:rPr>
        <w:footnoteReference w:id="12"/>
      </w:r>
      <w:r w:rsidRPr="00222128">
        <w:t>. Posouzení dopadů, které nadále platí jako hlavní analytický základ pro revidované legislativní návrhy, hodnotí hlavní environmentální, sociální a hospodářské dopady jednotlivých možností politiky ke zlepšení nakládání s odpady v EU. Za účelem nalezení nejvhodnějších nástrojů a cílů, které by minimalizovaly náklady a maximalizovaly přínosy, jsou posuzovány různé, více či méně ambiciózní možnosti, které jsou porovnávány s „výchozím scénářem“.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Výbor pro posuzování dopadů zřízený Komisí vydal k tomuto posouzení dne 8. dubna 2014 kladné stanovisko a zároveň vznesl řadu doporučení, jak zprávu zlepšit. Výbor pro posuzování dopadů požadoval bližší objasnění vymezení problému a uvedl, že je nutné stanovit nové střednědobé cíle, posílit argumenty ve prospěch zákazu ukládání na skládky z hlediska subsidiarity a proporcionality, vytyčit pro všechny členské státy jednotné cíle a podrobněji vysvětlit, jak je v návrhu zohledněna rozdílná výkonnost členských států.</w:t>
      </w:r>
    </w:p>
    <w:p w:rsidR="0025775A" w:rsidRPr="00222128" w:rsidRDefault="0025775A" w:rsidP="0025775A">
      <w:pPr>
        <w:rPr>
          <w:rFonts w:eastAsia="SimSun"/>
          <w:noProof/>
          <w:szCs w:val="24"/>
        </w:rPr>
      </w:pPr>
      <w:r w:rsidRPr="00222128">
        <w:t xml:space="preserve">Posouzení dopadů vedlo k závěru, že kombinace možností přinese tyto kladné výsledky: </w:t>
      </w:r>
    </w:p>
    <w:p w:rsidR="0025775A" w:rsidRPr="00222128" w:rsidRDefault="0025775A" w:rsidP="0025775A">
      <w:pPr>
        <w:pStyle w:val="Tiret0"/>
        <w:numPr>
          <w:ilvl w:val="0"/>
          <w:numId w:val="10"/>
        </w:numPr>
        <w:rPr>
          <w:rFonts w:eastAsia="SimSun"/>
          <w:noProof/>
        </w:rPr>
      </w:pPr>
      <w:r w:rsidRPr="00222128">
        <w:t>snížení administrativní zátěže zejména pro malá zařízení nebo podniky, zjednodušení a lepší provádění, včetně zajištění požadavku, aby cíle i nadále „odpovídaly danému účelu“,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 xml:space="preserve">vytváření pracovních příležitostí – do roku 2035 by mohlo být vytvořeno více než 170 000 přímých pracovních míst, přičemž většinu z nich nelze přenést do zemí mimo EU, 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snížení emisí skleníkových plynů – v období od roku 2015 do roku 2035 by bylo možno zamezit vzniku více než 600 milionů tun skleníkových plynů,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pozitivní vliv na konkurenceschopnost odvětví nakládání s odpady a recyklace odpadů v EU a rovněž na výrobní odvětví EU (lepší využívání systémů rozšířené odpovědnosti výrobce, nižší rizika spojená s přístupem k surovinám),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opětovný vstup druhotných surovin do hospodářství EU, což sníží závislost EU na dovozu surovin.</w:t>
      </w:r>
    </w:p>
    <w:p w:rsidR="0025775A" w:rsidRPr="00222128" w:rsidRDefault="0025775A" w:rsidP="0025775A">
      <w:pPr>
        <w:rPr>
          <w:rFonts w:eastAsia="SimSun"/>
          <w:noProof/>
        </w:rPr>
      </w:pPr>
      <w:r w:rsidRPr="00222128">
        <w:t>Spolu s legislativním návrhem byla vydána analytická zpráva doplňující posouzení dopadů. V této zprávě byly analyzovány některé doplňkové možnosti a varianty s cílem lépe zohlednit různé výchozí pozice každého členského státu.</w:t>
      </w:r>
    </w:p>
    <w:p w:rsidR="0025775A" w:rsidRPr="00222128" w:rsidRDefault="0025775A" w:rsidP="0025775A">
      <w:pPr>
        <w:pStyle w:val="ManualHeading1"/>
        <w:spacing w:before="120"/>
        <w:rPr>
          <w:noProof/>
        </w:rPr>
      </w:pPr>
      <w:r w:rsidRPr="00222128">
        <w:t>3.</w:t>
      </w:r>
      <w:r w:rsidRPr="00222128">
        <w:tab/>
        <w:t>PRÁVNÍ STRÁNKA NÁVRHU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3.1</w:t>
      </w:r>
      <w:r w:rsidRPr="00222128">
        <w:tab/>
        <w:t>Shrnutí navrhovaných opatření</w:t>
      </w:r>
    </w:p>
    <w:p w:rsidR="0025775A" w:rsidRPr="00222128" w:rsidRDefault="0025775A" w:rsidP="0025775A">
      <w:pPr>
        <w:pStyle w:val="Text1"/>
        <w:ind w:left="0"/>
        <w:rPr>
          <w:noProof/>
        </w:rPr>
      </w:pPr>
      <w:r w:rsidRPr="00222128">
        <w:t xml:space="preserve">Návrhy na změnu právních předpisů EU o odpadech obsahují tyto hlavní prvky: 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sladění definic,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 xml:space="preserve">zvýšení cíle týkajícího se úrovně přípravy k opětovnému použití a recyklace komunálního odpadu na 65 % do roku 2030, 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zvýšení cílů týkajících se úrovně přípravy k opětovnému použití a recyklace obalových odpadů, a zjednodušení souboru cílů,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 xml:space="preserve">postupné omezení ukládání komunálního odpadu na skládky až na úroveň 10 % do roku 2030, 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větší harmonizace a zjednodušení právního rámce týkajícího se vedlejších produktů a stavu, kdy odpad přestává být odpadem,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 xml:space="preserve">nová opatření na podporu prevence, včetně předcházení plýtvání potravinami a jejich opětovného použití, 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zavedení minimálních provozních podmínek pro rozšířenou odpovědnost výrobce,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zavedení systému včasného varování pro účely sledování plnění cílů týkajících se recyklace,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zjednodušení a zefektivnění povinností týkajících se předkládání zpráv,</w:t>
      </w:r>
    </w:p>
    <w:p w:rsidR="0025775A" w:rsidRPr="00222128" w:rsidRDefault="0025775A" w:rsidP="0025775A">
      <w:pPr>
        <w:pStyle w:val="Tiret0"/>
        <w:numPr>
          <w:ilvl w:val="0"/>
          <w:numId w:val="9"/>
        </w:numPr>
        <w:rPr>
          <w:rFonts w:eastAsia="SimSun"/>
          <w:noProof/>
        </w:rPr>
      </w:pPr>
      <w:r w:rsidRPr="00222128">
        <w:t>sladění s články 290 a 291 Smlouvy o fungování Evropské unie (SFEU) týkajícími se aktů v přenesené pravomoci a prováděcích aktů.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3.2</w:t>
      </w:r>
      <w:r w:rsidRPr="00222128">
        <w:tab/>
        <w:t>Právní základ a právo přijmout opatření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 xml:space="preserve">Tyto návrhy mění šest směrnic, které se zabývají nakládáním s různými odpady. Návrhy na změnu směrnice 2008/98/ES, směrnice 1999/31/ES, směrnice 2000/53/ES, směrnice 2006/66/ES a směrnice 2012/19/EU se zakládají na čl. 192 odst. 1) SFEU a návrh na změnu směrnice 94/62/ES se zakládá na článku 114 SFEU. 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V čl. 11 odst. 2 směrnice 2008/98/ES je stanoven cíl zvýšit do roku 2020 na 50 % hmotnosti úroveň přípravy k opětovnému použití a recyklace u odpadů z domácností a podobných odpadů a na 70 % hmotnosti úroveň přípravy k opětovnému použití a recyklace odpadů a jiných druhů materiálového využití u nikoliv nebezpečných stavebních a demoličních odpadů. Podle čl. 11 odst. 4 měla Komise nejpozději ke dni 31. prosince 2014 tyto cíle přezkoumat, a to za účelem jejich případného posílení a možného stanovení cílů pro další druhy odpadů, přičemž měla zohlednit příslušné environmentální, hospodářské a sociální dopady stanovení cílů. Podle čl. 9 písm. c) měla Komise do konce roku 2014 stanovit cíle předcházení vzniku odpadů a zrušení jeho závislosti na hospodářském růstu do roku 2020, založené na nejlepších dostupných postupech, včetně případné revize ukazatelů uvedených v čl. 29 odst. 4. Podle čl. 37 odst. 4 měla Komise v první zprávě, vypracované do 12. prosince 2014, posoudit řadu opatření, včetně systémů odpovědnosti výrobce za určité druhy odpadů, cílů, ukazatelů a opatření vztahujících se k recyklaci, využití materiálu a energetickému využití, jež mohou účinněji přispět k plnění cílů stanovených v článcích 1 a 4.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V čl. 5 odst. 2 směrnice 1999/31/ES jsou stanoveny tři cíle týkající se snížení množství biologicky rozložitelného komunálního odpadu na skládkách a zákazu ukládání určitých druhů odpadů na skládky. Poslední cíl týkající se snížení množství biologicky rozložitelného komunálního odpadu na skládkách musí členské státy splnit do dne 16. července 2016. Podle čl. 5 odst. 2 musí být tento cíl do dne 16. července 2014 znovu posouzen a potvrzen nebo změněn za účelem zajištění vysoké úrovně ochrany životního prostředí, a to na základě praktických zkušeností, které členské státy získaly při sledování dvou výše uvedených cílů.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V čl. 6 odst. 1 směrnice 94/62/ES jsou uvedeny cíle týkající se využití a recyklace obalových odpadů, které musí být podle čl. 6 odst. 5 stanoveny každých pět let na základě praktických zkušeností získaných členskými státy a na základě poznatků vědeckého výzkumu a vyhodnocovacích metod, například posuzování životního cyklu a analýzy nákladů a přínosů.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3.3</w:t>
      </w:r>
      <w:r w:rsidRPr="00222128">
        <w:tab/>
        <w:t>Zásada subsidiarity a proporcionality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Návrhy jsou v souladu se zásadami subsidiarity a proporcionality stanovenými v článku 5 Smlouvy o Evropské unii. Omezují se na změnu výše uvedených směrnic stanovením rámce pro vytyčení společných cílů a členským státům ponechává volnost při rozhodování o přesných způsobech provádění.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3.4</w:t>
      </w:r>
      <w:r w:rsidRPr="00222128">
        <w:tab/>
        <w:t>Informativní dokumenty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Komise má za to, že je nezbytné poskytnout dokumenty, jež vysvětlují opatření členských států k provádění směrnic, aby se zlepšila kvalita informací o provedení směrnic.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Právní předpisy o odpadech jsou v členských státech často provedeny vysoce decentralizovaným způsobem, včetně na regionální a místní úrovni, a v několika právních aktech v závislosti na správní struktuře daného členského státu. V důsledku toho může být nezbytné, aby při provedení pozměněných směrnic členské státy změnily celou řadu legislativních aktů na celostátní, regionální a místní úrovni.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Tyto návrhy mění šest různých směrnic o odpadech a dotýkají se významného počtu právně závazných povinností, včetně celkové změny cílů stanovených ve směrnici 2008/98/ES, směrnici 1999/31/ES a směrnici 94/62/ES a zjednodušení směrnice 2000/53/ES, směrnice 2006/66/ES a směrnice 2012/19/EU. Jedná se o komplexní přezkum právních předpisů o odpadech, který může ovlivnit řadu vnitrostátních právních předpisů.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Revidované cíle pro nakládání s odpady, které jsou obsaženy v pozměněných směrnicích, jsou vzájemně propojené a měly by být pečlivě provedeny do vnitrostátních právních předpisů a posléze začleněny do vnitrostátních systémů nakládání s odpady.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Navrhovaná ustanovení se v členských státech dotknou široké škály zúčastněných stran ze soukromého a veřejného sektoru a budou mít významný dopad na budoucí investice do infrastruktury nakládání s odpady. Úplné a správné provedení nových právních předpisů je nezbytné, aby bylo zaručeno dosažení jejich cílů (tj. ochrany lidského zdraví a životního prostředí, účinnějšího využívání zdrojů, zajištění fungování vnitřního trhu, zamezení překážek obchodu a omezení hospodářské soutěže v EU).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 xml:space="preserve">Požadavek poskytnutí informativních dokumentů může některým členským státům přinést další administrativní zátěž. Informativní dokumenty jsou však nezbytné, aby bylo možné účinně ověřit úplné a správné provedení, což má z výše uvedených důvodů zásadní význam, a neexistují žádná jiná méně zatěžující opatření, která by umožnila účinnou kontrolu. Informativní dokumenty mohou mimoto významně přispět ke snížení administrativní zátěže spojené se sledováním dodržování předpisů ze strany Komise; bez nich by byly ke sledování způsobů provedení ve všech členských státech zapotřebí značné zdroje a četné kontakty s vnitrostátními orgány. 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Vzhledem k výše uvedeným skutečnostem je třeba členské státy vyzvat, aby k oznámení svých prováděcích opatření připojily jeden nebo více dokumentů, v nichž vysvětlí vztah mezi ustanoveními směrnic, kterými se mění právní předpisy o odpadech, a odpovídajícími částmi nástrojů k jejich provedení ve vnitrostátním právu.</w:t>
      </w:r>
    </w:p>
    <w:p w:rsidR="0025775A" w:rsidRPr="00222128" w:rsidRDefault="0025775A" w:rsidP="0025775A">
      <w:pPr>
        <w:pStyle w:val="ManualHeading2"/>
        <w:rPr>
          <w:noProof/>
        </w:rPr>
      </w:pPr>
      <w:r w:rsidRPr="00222128">
        <w:t>3.5</w:t>
      </w:r>
      <w:r w:rsidRPr="00222128">
        <w:tab/>
        <w:t>Přenesené a prováděcí pravomoci Komise</w:t>
      </w:r>
    </w:p>
    <w:p w:rsidR="0025775A" w:rsidRPr="00222128" w:rsidRDefault="0025775A" w:rsidP="0025775A">
      <w:pPr>
        <w:pStyle w:val="Text1"/>
        <w:ind w:left="0"/>
        <w:rPr>
          <w:rFonts w:eastAsia="SimSun"/>
          <w:noProof/>
        </w:rPr>
      </w:pPr>
      <w:r w:rsidRPr="00222128">
        <w:t>Ustanovení čl. 1 odst. 4, 5, 6, 9, 11, 14, 15, 18, 19, 21 a 22 návrhu týkajícího se směrnice 2008/98/ES, čl. 1 odst. 4, 6, 7, 9 a 10 návrhu týkajícího se směrnice 94/62/ES, čl. 1 odst. 6 a 7 návrhu týkajícího se směrnice 1999/31/ES a změny navrhované v článcích 1 a 3 návrhu týkajícího se směrnic 2000/53/ES a 2012/19/EU určují přenesené a prováděcí pravomoci Komise a stanoví příslušné postupy přijímání těchto aktů.</w:t>
      </w:r>
    </w:p>
    <w:p w:rsidR="0025775A" w:rsidRPr="00222128" w:rsidRDefault="0025775A" w:rsidP="0025775A">
      <w:pPr>
        <w:pStyle w:val="ManualHeading1"/>
        <w:spacing w:before="120"/>
        <w:rPr>
          <w:noProof/>
        </w:rPr>
      </w:pPr>
      <w:r w:rsidRPr="00222128">
        <w:t>4.</w:t>
      </w:r>
      <w:r w:rsidRPr="00222128">
        <w:tab/>
        <w:t>ROZPOČTOVÉ DŮSLEDKY</w:t>
      </w:r>
    </w:p>
    <w:p w:rsidR="0025775A" w:rsidRPr="00222128" w:rsidRDefault="0025775A" w:rsidP="0025775A">
      <w:pPr>
        <w:rPr>
          <w:noProof/>
        </w:rPr>
      </w:pPr>
      <w:r w:rsidRPr="00222128">
        <w:t>Návrh nebude mít dopad na rozpočet Evropské unie, a proto k němu není připojen finanční výkaz podle článku 31 finančního nařízení (nařízení (EU, Euratom) č. 966/2012 Evropského parlamentu a Rady ze dne 25. října 2012, kterým se stanoví finanční pravidla o souhrnném rozpočtu Unie a o zrušení nařízení Rady (ES, Euratom) č. 1605/2002).</w:t>
      </w:r>
    </w:p>
    <w:p w:rsidR="0025775A" w:rsidRPr="00222128" w:rsidRDefault="0025775A" w:rsidP="0025775A">
      <w:pPr>
        <w:rPr>
          <w:noProof/>
        </w:rPr>
      </w:pPr>
      <w:r w:rsidRPr="00222128">
        <w:br w:type="page"/>
      </w:r>
    </w:p>
    <w:p w:rsidR="0025775A" w:rsidRPr="00222128" w:rsidRDefault="0025775A" w:rsidP="0025775A">
      <w:pPr>
        <w:pStyle w:val="Rfrenceinterinstitutionnelle"/>
        <w:rPr>
          <w:noProof/>
        </w:rPr>
      </w:pPr>
      <w:r w:rsidRPr="00CF3F73">
        <w:t>2015/0272 (COD)</w:t>
      </w:r>
    </w:p>
    <w:p w:rsidR="0025775A" w:rsidRPr="00222128" w:rsidRDefault="0025775A" w:rsidP="0025775A">
      <w:pPr>
        <w:pStyle w:val="Statut"/>
        <w:rPr>
          <w:noProof/>
        </w:rPr>
      </w:pPr>
      <w:r w:rsidRPr="00222128">
        <w:t>Návrh</w:t>
      </w:r>
    </w:p>
    <w:p w:rsidR="0025775A" w:rsidRPr="00222128" w:rsidRDefault="0025775A" w:rsidP="0025775A">
      <w:pPr>
        <w:pStyle w:val="Typedudocument"/>
        <w:rPr>
          <w:noProof/>
        </w:rPr>
      </w:pPr>
      <w:r w:rsidRPr="00222128">
        <w:t>SMĚRNICE EVROPSKÉHO PARLAMENTU A RADY,</w:t>
      </w:r>
    </w:p>
    <w:p w:rsidR="0025775A" w:rsidRPr="00222128" w:rsidRDefault="0025775A" w:rsidP="0025775A">
      <w:pPr>
        <w:pStyle w:val="Titreobjet"/>
        <w:rPr>
          <w:noProof/>
        </w:rPr>
      </w:pPr>
      <w:r w:rsidRPr="00222128">
        <w:t xml:space="preserve">kterou se mění směrnice 2000/53/ES o vozidlech s ukončenou životností, směrnice 2006/66/ES o bateriích a akumulátorech a odpadních bateriích a akumulátorech a směrnice 2012/19/EU o odpadních elektrických a elektronických zařízeních </w:t>
      </w:r>
    </w:p>
    <w:p w:rsidR="0025775A" w:rsidRPr="00222128" w:rsidRDefault="0025775A" w:rsidP="0025775A">
      <w:pPr>
        <w:pStyle w:val="IntrtEEE"/>
        <w:rPr>
          <w:noProof/>
        </w:rPr>
      </w:pPr>
      <w:r w:rsidRPr="00222128">
        <w:t>(Text s významem pro EHP)</w:t>
      </w:r>
    </w:p>
    <w:p w:rsidR="0025775A" w:rsidRPr="00222128" w:rsidRDefault="0025775A" w:rsidP="0025775A">
      <w:pPr>
        <w:pStyle w:val="Institutionquiagit"/>
        <w:spacing w:before="120"/>
        <w:rPr>
          <w:noProof/>
        </w:rPr>
      </w:pPr>
      <w:r w:rsidRPr="00222128">
        <w:t>EVROPSKÝ PARLAMENT A RADA EVROPSKÉ UNIE,</w:t>
      </w:r>
    </w:p>
    <w:p w:rsidR="0025775A" w:rsidRPr="00222128" w:rsidRDefault="0025775A" w:rsidP="0025775A">
      <w:pPr>
        <w:rPr>
          <w:noProof/>
        </w:rPr>
      </w:pPr>
      <w:r w:rsidRPr="00222128">
        <w:t>s ohledem na Smlouvu o fungování Evropské unie, a zejména na čl. 192 odst. 1 této smlouvy,</w:t>
      </w:r>
    </w:p>
    <w:p w:rsidR="0025775A" w:rsidRPr="00222128" w:rsidRDefault="0025775A" w:rsidP="0025775A">
      <w:pPr>
        <w:rPr>
          <w:noProof/>
        </w:rPr>
      </w:pPr>
      <w:r w:rsidRPr="00222128">
        <w:t>s ohledem na návrh Evropské komise,</w:t>
      </w:r>
    </w:p>
    <w:p w:rsidR="0025775A" w:rsidRPr="00222128" w:rsidRDefault="0025775A" w:rsidP="0025775A">
      <w:pPr>
        <w:rPr>
          <w:noProof/>
        </w:rPr>
      </w:pPr>
      <w:r w:rsidRPr="00222128">
        <w:t>po postoupení návrhu legislativního aktu vnitrostátním parlamentům,</w:t>
      </w:r>
    </w:p>
    <w:p w:rsidR="0025775A" w:rsidRPr="00222128" w:rsidRDefault="0025775A" w:rsidP="0025775A">
      <w:pPr>
        <w:rPr>
          <w:noProof/>
        </w:rPr>
      </w:pPr>
      <w:r w:rsidRPr="00222128">
        <w:t>s ohledem na stanovisko Evropského hospodářského a sociálního výboru</w:t>
      </w:r>
      <w:r w:rsidRPr="00222128">
        <w:rPr>
          <w:rStyle w:val="FootnoteReference"/>
          <w:noProof/>
        </w:rPr>
        <w:footnoteReference w:id="13"/>
      </w:r>
      <w:r w:rsidRPr="00222128">
        <w:t>,</w:t>
      </w:r>
    </w:p>
    <w:p w:rsidR="0025775A" w:rsidRPr="00222128" w:rsidRDefault="0025775A" w:rsidP="0025775A">
      <w:pPr>
        <w:rPr>
          <w:noProof/>
        </w:rPr>
      </w:pPr>
      <w:r w:rsidRPr="00222128">
        <w:t>s ohledem na stanovisko Výboru regionů</w:t>
      </w:r>
      <w:r w:rsidRPr="00222128">
        <w:rPr>
          <w:rStyle w:val="FootnoteReference"/>
          <w:noProof/>
        </w:rPr>
        <w:footnoteReference w:id="14"/>
      </w:r>
      <w:r w:rsidRPr="00222128">
        <w:t>,</w:t>
      </w:r>
    </w:p>
    <w:p w:rsidR="0025775A" w:rsidRPr="00222128" w:rsidRDefault="0025775A" w:rsidP="0025775A">
      <w:pPr>
        <w:rPr>
          <w:noProof/>
        </w:rPr>
      </w:pPr>
      <w:r w:rsidRPr="00222128">
        <w:t>v souladu s řádným legislativním postupem,</w:t>
      </w:r>
    </w:p>
    <w:p w:rsidR="0025775A" w:rsidRPr="00222128" w:rsidRDefault="0025775A" w:rsidP="0025775A">
      <w:pPr>
        <w:rPr>
          <w:noProof/>
        </w:rPr>
      </w:pPr>
      <w:r w:rsidRPr="00222128">
        <w:t>vzhledem k těmto důvodům: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t>(1)</w:t>
      </w:r>
      <w:r w:rsidRPr="00222128">
        <w:tab/>
        <w:t>Nakládání s odpady v Unii je třeba zlepšit, aby bylo možné zachovat, chránit a zlepšit kvalitu životního prostředí, chránit lidské zdraví, zajistit uvážlivé a racionální využívání přírodních zdrojů a posílit oběhové hospodářství.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t>(2)</w:t>
      </w:r>
      <w:r w:rsidRPr="00222128">
        <w:tab/>
        <w:t>Aby se snížila administrativní zátěž pro malá zařízení nebo podniky, měly by se zjednodušit požadavky týkající se povolení a registrace pro malá zařízení nebo podniky.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t>(2)</w:t>
      </w:r>
      <w:r w:rsidRPr="00222128">
        <w:tab/>
        <w:t>Ukázalo se, že prováděcí zprávy, které členské státy vyhotovují jednou za tři roky, nejsou účinným nástrojem pro ověřování souladu s předpisy a zajištění správného provádění a vytvářejí zbytečnou administrativní zátěž. Je proto třeba zrušit ustanovení, která členským státům ukládají povinnost předkládat tyto zprávy, a pro účely sledování dodržování předpisů používat výhradně statistické údaje, které členské státy každý rok oznámí Komisi.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t>(3)</w:t>
      </w:r>
      <w:r w:rsidRPr="00222128">
        <w:tab/>
        <w:t xml:space="preserve">Statistické údaje oznámené členskými státy mají pro Komisi zásadní význam při posuzování dodržování právních předpisů o odpadech ve všech členských státech. Kvalitu, spolehlivost a srovnatelnost statistik by mělo zlepšit zavedení jednotného kontaktního místa pro předávání veškerých údajů o odpadech, zrušení zastaralých požadavků na předkládání zpráv, porovnání vnitrostátních metodik vykazování a zavedení zprávy o kontrole kvality údajů. </w:t>
      </w:r>
    </w:p>
    <w:p w:rsidR="0025775A" w:rsidRPr="00222128" w:rsidRDefault="0025775A" w:rsidP="0025775A">
      <w:pPr>
        <w:pStyle w:val="ManualConsidrant"/>
        <w:rPr>
          <w:rStyle w:val="CommentReference"/>
          <w:noProof/>
          <w:sz w:val="24"/>
          <w:szCs w:val="20"/>
        </w:rPr>
      </w:pPr>
      <w:r w:rsidRPr="00222128">
        <w:t>(4)</w:t>
      </w:r>
      <w:r w:rsidRPr="00222128">
        <w:tab/>
        <w:t>P</w:t>
      </w:r>
      <w:r w:rsidRPr="00222128">
        <w:rPr>
          <w:rStyle w:val="CommentReference"/>
          <w:noProof/>
          <w:sz w:val="24"/>
        </w:rPr>
        <w:t>ro účinné provádění a zajištění srovnatelnosti údajů za rovných podmínek mezi členskými státy je nanejvýš důležité předávání spolehlivých statistických údajů týkajících se nakládání s odpady. Při přípravě zpráv o plnění cílů stanovených v těchto směrnicích by proto od členských států mělo být vyžadováno, aby používaly nejnovější metodiku, kterou vypracovala Komise a národní statistické úřady členských států.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rPr>
          <w:rStyle w:val="CommentReference"/>
          <w:noProof/>
          <w:sz w:val="24"/>
        </w:rPr>
        <w:t>(5)</w:t>
      </w:r>
      <w:r w:rsidRPr="00222128">
        <w:tab/>
        <w:t>Směrnice 2000/53/ES, 2006/66/ES a 2012/19/EU by proto měly být odpovídajícím způsobem změněny.</w:t>
      </w:r>
    </w:p>
    <w:p w:rsidR="0025775A" w:rsidRPr="00222128" w:rsidRDefault="0025775A" w:rsidP="0025775A">
      <w:pPr>
        <w:pStyle w:val="ManualConsidrant"/>
        <w:rPr>
          <w:noProof/>
        </w:rPr>
      </w:pPr>
      <w:r w:rsidRPr="00222128">
        <w:t>(6)</w:t>
      </w:r>
      <w:r w:rsidRPr="00222128">
        <w:tab/>
        <w:t>Členské státy se v souladu se Společným politickým prohlášením členských států a Komise o informativních dokumentech</w:t>
      </w:r>
      <w:r w:rsidRPr="00222128">
        <w:rPr>
          <w:rStyle w:val="FootnoteReference"/>
          <w:noProof/>
        </w:rPr>
        <w:footnoteReference w:id="15"/>
      </w:r>
      <w:r w:rsidRPr="00222128">
        <w:t xml:space="preserve"> ze dne 28. září 2011 zavázaly, že v odůvodněných případech doplní oznámení o opatřeních přijatých za účelem provedení směrnice do vnitrostátního práva o jeden či více dokumentů, které objasňují vztah mezi jednotlivými složkami směrnice a příslušnými částmi vnitrostátních prováděcích nástrojů. V případě této směrnice považuje normotvůrce předložení těchto dokumentů za odůvodněné.</w:t>
      </w:r>
    </w:p>
    <w:p w:rsidR="0025775A" w:rsidRPr="00222128" w:rsidRDefault="0025775A" w:rsidP="0025775A">
      <w:pPr>
        <w:pStyle w:val="ManualConsidrant"/>
        <w:rPr>
          <w:rStyle w:val="CommentReference"/>
          <w:noProof/>
          <w:sz w:val="24"/>
          <w:szCs w:val="20"/>
        </w:rPr>
      </w:pPr>
      <w:r w:rsidRPr="00222128">
        <w:rPr>
          <w:rStyle w:val="CommentReference"/>
          <w:noProof/>
          <w:sz w:val="24"/>
        </w:rPr>
        <w:t>(7)</w:t>
      </w:r>
      <w:r w:rsidRPr="00222128">
        <w:tab/>
      </w:r>
      <w:r w:rsidRPr="00222128">
        <w:rPr>
          <w:rStyle w:val="CommentReference"/>
          <w:noProof/>
          <w:sz w:val="24"/>
        </w:rPr>
        <w:t xml:space="preserve">Jelikož cílů této směrnice, totiž </w:t>
      </w:r>
      <w:r w:rsidRPr="00222128">
        <w:t xml:space="preserve"> zlepšení nakládání s odpady v Unii, a tím i přispění k zachování, ochraně a zlepšování kvality životního prostředí a uvážlivému a racionálnímu využívání přírodních zdrojů</w:t>
      </w:r>
      <w:r w:rsidRPr="00222128">
        <w:rPr>
          <w:rStyle w:val="CommentReference"/>
          <w:noProof/>
          <w:sz w:val="24"/>
        </w:rPr>
        <w:t xml:space="preserve">, nemůže být dosaženo uspokojivě členskými státy, ale spíše jich z důvodu rozsahu účinků opatření může být lépe dosaženo na úrovni Unie, může Unie přijmout opatření v souladu se zásadou subsidiarity stanovenou v článku 5 Smlouvy o Evropské unii. V souladu se zásadou proporcionality stanovenou v uvedeném článku nepřekračuje tato směrnice rámec toho, co je nezbytné pro dosažení těchto cílů, </w:t>
      </w:r>
    </w:p>
    <w:p w:rsidR="0025775A" w:rsidRPr="00222128" w:rsidRDefault="0025775A" w:rsidP="0025775A">
      <w:pPr>
        <w:pStyle w:val="Formuledadoption"/>
        <w:rPr>
          <w:noProof/>
        </w:rPr>
      </w:pPr>
      <w:r w:rsidRPr="00222128">
        <w:t>PŘIJALY TUTO SMĚRNICI:</w:t>
      </w:r>
    </w:p>
    <w:p w:rsidR="0025775A" w:rsidRPr="00222128" w:rsidRDefault="0025775A" w:rsidP="0025775A">
      <w:pPr>
        <w:pStyle w:val="Titrearticle"/>
        <w:spacing w:before="120"/>
        <w:rPr>
          <w:noProof/>
        </w:rPr>
      </w:pPr>
      <w:r w:rsidRPr="00222128">
        <w:t>Článek 1</w:t>
      </w:r>
    </w:p>
    <w:p w:rsidR="0025775A" w:rsidRPr="00222128" w:rsidRDefault="0025775A" w:rsidP="0025775A">
      <w:pPr>
        <w:pStyle w:val="NormalCentered"/>
        <w:rPr>
          <w:b/>
          <w:noProof/>
        </w:rPr>
      </w:pPr>
      <w:r w:rsidRPr="00222128">
        <w:rPr>
          <w:b/>
          <w:noProof/>
        </w:rPr>
        <w:t>Změna směrnice 2000/53/ES</w:t>
      </w:r>
    </w:p>
    <w:p w:rsidR="0025775A" w:rsidRPr="00222128" w:rsidRDefault="0025775A" w:rsidP="0025775A">
      <w:pPr>
        <w:rPr>
          <w:noProof/>
        </w:rPr>
      </w:pPr>
      <w:r w:rsidRPr="00222128">
        <w:t>Článek 9 směrnice 2000/53/ES se mění takto:</w:t>
      </w:r>
    </w:p>
    <w:p w:rsidR="0025775A" w:rsidRPr="00222128" w:rsidRDefault="0025775A" w:rsidP="0025775A">
      <w:pPr>
        <w:pStyle w:val="ManualNumPar1"/>
        <w:rPr>
          <w:noProof/>
        </w:rPr>
      </w:pPr>
      <w:r w:rsidRPr="00222128">
        <w:t>1) Odstavec 1 se zrušuje.</w:t>
      </w:r>
    </w:p>
    <w:p w:rsidR="0025775A" w:rsidRPr="00222128" w:rsidRDefault="0025775A" w:rsidP="0025775A">
      <w:pPr>
        <w:pStyle w:val="ManualNumPar1"/>
        <w:rPr>
          <w:noProof/>
        </w:rPr>
      </w:pPr>
      <w:r w:rsidRPr="00222128">
        <w:t>2) Vkládají se nové odstavce, které znějí:</w:t>
      </w:r>
    </w:p>
    <w:p w:rsidR="0025775A" w:rsidRPr="00222128" w:rsidRDefault="0025775A" w:rsidP="0025775A">
      <w:pPr>
        <w:pStyle w:val="Text1"/>
        <w:rPr>
          <w:rFonts w:cs="Calibri"/>
          <w:bCs/>
          <w:noProof/>
        </w:rPr>
      </w:pPr>
      <w:r w:rsidRPr="00222128">
        <w:t>„1a Členské státy předávají Komisi údaje týkající se provádění čl. 7 odst. 2 za každý kalendářní rok. Předávají tyto údaje elektronicky před uplynutím 18 měsíců od konce vykazovaného roku, pro který byly údaje shromážděny. Údaje jsou předkládány ve formátu, který stanoví Komise v souladu s odstavcem 1d. První zpráva musí zahrnovat údaje za období od 1. ledna [</w:t>
      </w:r>
      <w:r w:rsidRPr="00222128">
        <w:rPr>
          <w:i/>
          <w:noProof/>
        </w:rPr>
        <w:t>enter year of transposition of this Directive + 1 year</w:t>
      </w:r>
      <w:r w:rsidRPr="00222128">
        <w:t>] do 31. prosince [</w:t>
      </w:r>
      <w:r w:rsidRPr="00222128">
        <w:rPr>
          <w:i/>
          <w:noProof/>
        </w:rPr>
        <w:t>enter year of transposition of this Directive + 1 year</w:t>
      </w:r>
      <w:r w:rsidRPr="00222128">
        <w:t>].</w:t>
      </w:r>
    </w:p>
    <w:p w:rsidR="0025775A" w:rsidRPr="00222128" w:rsidRDefault="0025775A" w:rsidP="0025775A">
      <w:pPr>
        <w:pStyle w:val="Text1"/>
        <w:rPr>
          <w:noProof/>
        </w:rPr>
      </w:pPr>
      <w:r w:rsidRPr="00222128">
        <w:t>1b K údajům, jež členský stát předloží podle tohoto článku, musí být připojena zpráva o kontrole kvality.</w:t>
      </w:r>
    </w:p>
    <w:p w:rsidR="0025775A" w:rsidRPr="00222128" w:rsidRDefault="0025775A" w:rsidP="0025775A">
      <w:pPr>
        <w:pStyle w:val="Text1"/>
        <w:rPr>
          <w:noProof/>
        </w:rPr>
      </w:pPr>
      <w:r w:rsidRPr="00222128">
        <w:t>1c Komise přezkoumá údaje předané v souladu s tímto článkem a zprávu o výsledcích přezkumu zveřejní. Zpráva posoudí organizaci sběru údajů, zdrojů údajů a metodiku použitou v členských státech a rovněž úplnost, spolehlivost, včasnost a konzistentnost těchto údajů. Posouzení může obsahovat konkrétní doporučení ke zlepšení. Tato zpráva se vypracovává každé tři roky.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1d Komise přijme prováděcí akty za účelem stanovení formátu pro vykazování údajů v souladu s odstavcem 1a. Tyto prováděcí akty se přijímají postupem podle čl. 11 odst. 2."</w:t>
      </w:r>
    </w:p>
    <w:p w:rsidR="0025775A" w:rsidRPr="00222128" w:rsidRDefault="0025775A" w:rsidP="0025775A">
      <w:pPr>
        <w:pStyle w:val="Titrearticle"/>
        <w:spacing w:before="120"/>
        <w:rPr>
          <w:noProof/>
        </w:rPr>
      </w:pPr>
      <w:r w:rsidRPr="00222128">
        <w:t>Článek 2</w:t>
      </w:r>
    </w:p>
    <w:p w:rsidR="0025775A" w:rsidRPr="00222128" w:rsidRDefault="0025775A" w:rsidP="0025775A">
      <w:pPr>
        <w:pStyle w:val="NormalCentered"/>
        <w:rPr>
          <w:b/>
          <w:noProof/>
        </w:rPr>
      </w:pPr>
      <w:r w:rsidRPr="00222128">
        <w:rPr>
          <w:b/>
          <w:noProof/>
        </w:rPr>
        <w:t>Změna směrnice 2006/66/ES</w:t>
      </w:r>
    </w:p>
    <w:p w:rsidR="0025775A" w:rsidRPr="00222128" w:rsidRDefault="0025775A" w:rsidP="0025775A">
      <w:pPr>
        <w:rPr>
          <w:noProof/>
        </w:rPr>
      </w:pPr>
      <w:r w:rsidRPr="00222128">
        <w:t>Směrnice 2006/66/ES se mění takto:</w:t>
      </w:r>
    </w:p>
    <w:p w:rsidR="0025775A" w:rsidRPr="00222128" w:rsidRDefault="0025775A" w:rsidP="0025775A">
      <w:pPr>
        <w:pStyle w:val="ManualNumPar1"/>
        <w:ind w:left="360" w:hanging="360"/>
        <w:rPr>
          <w:rFonts w:cs="Calibri"/>
          <w:noProof/>
        </w:rPr>
      </w:pPr>
      <w:r w:rsidRPr="00222128">
        <w:t>1) Článek 22 se zrušuje.</w:t>
      </w:r>
    </w:p>
    <w:p w:rsidR="0025775A" w:rsidRPr="00222128" w:rsidRDefault="0025775A" w:rsidP="0025775A">
      <w:pPr>
        <w:pStyle w:val="ManualNumPar1"/>
        <w:ind w:left="360" w:hanging="360"/>
        <w:rPr>
          <w:rFonts w:cs="Calibri"/>
          <w:noProof/>
        </w:rPr>
      </w:pPr>
      <w:r w:rsidRPr="00222128">
        <w:t>2) Článek 23 se mění takto:</w:t>
      </w:r>
    </w:p>
    <w:p w:rsidR="0025775A" w:rsidRPr="00222128" w:rsidRDefault="0025775A" w:rsidP="0025775A">
      <w:pPr>
        <w:pStyle w:val="ManualNumPar2"/>
        <w:rPr>
          <w:noProof/>
        </w:rPr>
      </w:pPr>
      <w:r w:rsidRPr="00222128">
        <w:t>a) odstavec 1 se nahrazuje tímto: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„Nejpozději do konce roku 2016 vypracuje Komise zprávu o provádění této směrnice a jejím dopadu na životní prostředí a na fungování vnitřního trhu.“;</w:t>
      </w:r>
    </w:p>
    <w:p w:rsidR="0025775A" w:rsidRPr="00222128" w:rsidRDefault="0025775A" w:rsidP="0025775A">
      <w:pPr>
        <w:pStyle w:val="ManualNumPar2"/>
        <w:rPr>
          <w:noProof/>
        </w:rPr>
      </w:pPr>
      <w:r w:rsidRPr="00222128">
        <w:t>b) v odstavci 2 se návětí nahrazuje tímto: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„Ve své zprávě Komise uvede vyhodnocení těchto hledisek této směrnice:“.</w:t>
      </w:r>
    </w:p>
    <w:p w:rsidR="0025775A" w:rsidRPr="00222128" w:rsidRDefault="0025775A" w:rsidP="0025775A">
      <w:pPr>
        <w:pStyle w:val="Titrearticle"/>
        <w:spacing w:before="120"/>
        <w:rPr>
          <w:noProof/>
        </w:rPr>
      </w:pPr>
      <w:r w:rsidRPr="00222128">
        <w:t>Článek 3</w:t>
      </w:r>
    </w:p>
    <w:p w:rsidR="0025775A" w:rsidRPr="00222128" w:rsidRDefault="0025775A" w:rsidP="0025775A">
      <w:pPr>
        <w:pStyle w:val="NormalCentered"/>
        <w:rPr>
          <w:b/>
          <w:noProof/>
        </w:rPr>
      </w:pPr>
      <w:r w:rsidRPr="00222128">
        <w:rPr>
          <w:b/>
          <w:noProof/>
        </w:rPr>
        <w:t>Změna směrnice 2012/19/EU</w:t>
      </w:r>
    </w:p>
    <w:p w:rsidR="0025775A" w:rsidRPr="00222128" w:rsidRDefault="0025775A" w:rsidP="0025775A">
      <w:pPr>
        <w:rPr>
          <w:noProof/>
        </w:rPr>
      </w:pPr>
      <w:r w:rsidRPr="00222128">
        <w:t>Směrnice 2012/19/EU se mění takto:</w:t>
      </w:r>
    </w:p>
    <w:p w:rsidR="0025775A" w:rsidRPr="00222128" w:rsidRDefault="0025775A" w:rsidP="0025775A">
      <w:pPr>
        <w:pStyle w:val="ManualNumPar1"/>
        <w:ind w:left="360" w:hanging="360"/>
        <w:rPr>
          <w:noProof/>
        </w:rPr>
      </w:pPr>
      <w:r w:rsidRPr="00222128">
        <w:t>1) Článek 16 se mění takto:</w:t>
      </w:r>
    </w:p>
    <w:p w:rsidR="0025775A" w:rsidRPr="00222128" w:rsidRDefault="0025775A" w:rsidP="0025775A">
      <w:pPr>
        <w:pStyle w:val="ManualNumPar2"/>
        <w:rPr>
          <w:noProof/>
        </w:rPr>
      </w:pPr>
      <w:r w:rsidRPr="00222128">
        <w:t>a) odstavec 5 se zrušuje;</w:t>
      </w:r>
    </w:p>
    <w:p w:rsidR="0025775A" w:rsidRPr="00222128" w:rsidRDefault="0025775A" w:rsidP="0025775A">
      <w:pPr>
        <w:pStyle w:val="ManualNumPar2"/>
        <w:rPr>
          <w:rFonts w:cs="Calibri"/>
          <w:noProof/>
        </w:rPr>
      </w:pPr>
      <w:r w:rsidRPr="00222128">
        <w:t>b) doplňují se nové odstavce, které znějí:</w:t>
      </w:r>
    </w:p>
    <w:p w:rsidR="0025775A" w:rsidRPr="00222128" w:rsidRDefault="0025775A" w:rsidP="0025775A">
      <w:pPr>
        <w:pStyle w:val="Text1"/>
        <w:rPr>
          <w:noProof/>
        </w:rPr>
      </w:pPr>
      <w:r w:rsidRPr="00222128">
        <w:t>„5 a Členské státy předávají Komisi údaje týkající se provádění čl. 16 odst. 4 za každý kalendářní rok. Předávají tyto údaje elektronicky před uplynutím 18 měsíců od konce vykazovaného roku, pro který byly údaje shromážděny. Údaje jsou předkládány ve formátu, který stanoví Komise v souladu s odstavcem 5d. První zpráva musí zahrnovat údaje za období od 1. ledna [</w:t>
      </w:r>
      <w:r w:rsidRPr="00222128">
        <w:rPr>
          <w:i/>
          <w:noProof/>
        </w:rPr>
        <w:t>enter year of transposition of this Directive + 1 year</w:t>
      </w:r>
      <w:r w:rsidRPr="00222128">
        <w:t>] do 31. prosince [</w:t>
      </w:r>
      <w:r w:rsidRPr="00222128">
        <w:rPr>
          <w:i/>
          <w:noProof/>
        </w:rPr>
        <w:t>enter year of transposition of this Directive + 1 year</w:t>
      </w:r>
      <w:r w:rsidRPr="00222128">
        <w:t>].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5b K údajům, jež členský stát předloží podle tohoto článku, musí být připojena zpráva o kontrole kvality.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5c Komise přezkoumá údaje předané v souladu s tímto článkem a zprávu o výsledcích přezkumu zveřejní. Zpráva zahrnuje posouzení organizace sběru údajů, zdrojů údajů a metodiky použité v členských státech a rovněž posouzení úplnosti, spolehlivosti, včasnosti a konzistentnosti těchto údajů. Posouzení může obsahovat konkrétní doporučení ke zlepšení. Tato zpráva se vypracovává každé tři roky.</w:t>
      </w:r>
    </w:p>
    <w:p w:rsidR="0025775A" w:rsidRPr="00222128" w:rsidRDefault="0025775A" w:rsidP="0025775A">
      <w:pPr>
        <w:pStyle w:val="Text1"/>
        <w:rPr>
          <w:noProof/>
        </w:rPr>
      </w:pPr>
      <w:r w:rsidRPr="00222128">
        <w:t>5d Komise přijme prováděcí akty za účelem stanovení formátu pro vykazování údajů v souladu s odstavcem 5a. Tyto prováděcí akty se přijímají postupem podle čl. 21 odst. 2.“;</w:t>
      </w:r>
    </w:p>
    <w:p w:rsidR="0025775A" w:rsidRPr="00222128" w:rsidRDefault="0025775A" w:rsidP="0025775A">
      <w:pPr>
        <w:pStyle w:val="ManualNumPar1"/>
        <w:ind w:left="360" w:hanging="360"/>
        <w:rPr>
          <w:rFonts w:cs="Calibri"/>
          <w:noProof/>
        </w:rPr>
      </w:pPr>
      <w:r w:rsidRPr="00222128">
        <w:t xml:space="preserve"> 2) Článek 21 se nahrazuje tímto:</w:t>
      </w:r>
    </w:p>
    <w:p w:rsidR="0025775A" w:rsidRPr="00222128" w:rsidRDefault="0025775A" w:rsidP="0025775A">
      <w:pPr>
        <w:pStyle w:val="Text1"/>
        <w:rPr>
          <w:i/>
          <w:noProof/>
          <w:szCs w:val="24"/>
        </w:rPr>
      </w:pPr>
      <w:r w:rsidRPr="00222128">
        <w:t>„</w:t>
      </w:r>
      <w:r w:rsidRPr="00222128">
        <w:rPr>
          <w:i/>
        </w:rPr>
        <w:t>Článek 21</w:t>
      </w:r>
    </w:p>
    <w:p w:rsidR="0025775A" w:rsidRPr="00222128" w:rsidRDefault="0025775A" w:rsidP="0025775A">
      <w:pPr>
        <w:pStyle w:val="Text1"/>
        <w:rPr>
          <w:b/>
          <w:noProof/>
          <w:szCs w:val="24"/>
        </w:rPr>
      </w:pPr>
      <w:r w:rsidRPr="00222128">
        <w:rPr>
          <w:b/>
          <w:noProof/>
        </w:rPr>
        <w:t>Postup projednávání ve výboru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 xml:space="preserve">1. Komisi je nápomocen výbor zřízený článkem 39 směrnice 2008/98/ES. Tento výbor je výborem ve smyslu nařízení (EU) č. 182/2011(*). 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2. Odkazuje-li se na tento odstavec, použije se článek 5 nařízení (EU) č. 182/2011.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3. Pokud výbor nevydá žádné stanovisko, Komise návrh prováděcího aktu nepřijme a použije se čl. 5 odst. 4 třetí pododstavec nařízení (EU) č. 182/2011.</w:t>
      </w:r>
    </w:p>
    <w:p w:rsidR="0025775A" w:rsidRPr="00222128" w:rsidRDefault="0025775A" w:rsidP="0025775A">
      <w:pPr>
        <w:pStyle w:val="Text1"/>
        <w:pBdr>
          <w:bottom w:val="single" w:sz="6" w:space="1" w:color="auto"/>
        </w:pBdr>
        <w:rPr>
          <w:noProof/>
          <w:szCs w:val="24"/>
        </w:rPr>
      </w:pP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(*)</w:t>
      </w:r>
      <w:r w:rsidRPr="00222128">
        <w:tab/>
        <w:t>Nařízení Evropského parlamentu a Rady (EU) č. 182/2011 ze dne 16. února 2011, kterým se stanoví pravidla a obecné zásady způsobu, jakým členské státy kontrolují Komisi při výkonu prováděcích pravomocí (Úř. věst. L 55, 28.2.2011, s. 13).“.</w:t>
      </w:r>
    </w:p>
    <w:p w:rsidR="0025775A" w:rsidRPr="00222128" w:rsidRDefault="0025775A" w:rsidP="0025775A">
      <w:pPr>
        <w:pStyle w:val="Titrearticle"/>
        <w:keepLines/>
        <w:spacing w:before="120"/>
        <w:rPr>
          <w:noProof/>
        </w:rPr>
      </w:pPr>
      <w:r w:rsidRPr="00222128">
        <w:t>Článek 4</w:t>
      </w:r>
    </w:p>
    <w:p w:rsidR="0025775A" w:rsidRPr="00222128" w:rsidRDefault="0025775A" w:rsidP="0025775A">
      <w:pPr>
        <w:jc w:val="center"/>
        <w:rPr>
          <w:b/>
          <w:noProof/>
        </w:rPr>
      </w:pPr>
      <w:r w:rsidRPr="00222128">
        <w:rPr>
          <w:b/>
          <w:noProof/>
        </w:rPr>
        <w:t>Provedení</w:t>
      </w:r>
    </w:p>
    <w:p w:rsidR="0025775A" w:rsidRPr="00222128" w:rsidRDefault="0025775A" w:rsidP="0025775A">
      <w:pPr>
        <w:pStyle w:val="ManualNumPar1"/>
        <w:rPr>
          <w:noProof/>
          <w:szCs w:val="24"/>
        </w:rPr>
      </w:pPr>
      <w:r w:rsidRPr="00222128">
        <w:t>1.</w:t>
      </w:r>
      <w:r w:rsidRPr="00222128">
        <w:tab/>
        <w:t>Členské státy uvedou v účinnost právní a správní předpisy nezbytné pro dosažení souladu s touto směrnicí nejpozději do [</w:t>
      </w:r>
      <w:r w:rsidRPr="00222128">
        <w:rPr>
          <w:i/>
          <w:noProof/>
        </w:rPr>
        <w:t>insert date eighteen months after the entry into force of this Directive</w:t>
      </w:r>
      <w:r w:rsidRPr="00222128">
        <w:t>]. Neprodleně sdělí Komisi jejich znění.</w:t>
      </w:r>
    </w:p>
    <w:p w:rsidR="0025775A" w:rsidRPr="00222128" w:rsidRDefault="0025775A" w:rsidP="0025775A">
      <w:pPr>
        <w:pStyle w:val="Text1"/>
        <w:rPr>
          <w:noProof/>
          <w:szCs w:val="24"/>
        </w:rPr>
      </w:pPr>
      <w:r w:rsidRPr="00222128">
        <w:t>Tyto předpisy přijaté členskými státy musí obsahovat odkaz na tuto směrnici nebo musí být takový odkaz učiněn při jejich úředním vyhlášení. Způsob odkazu si stanoví členské státy.</w:t>
      </w:r>
    </w:p>
    <w:p w:rsidR="0025775A" w:rsidRPr="00222128" w:rsidRDefault="0025775A" w:rsidP="0025775A">
      <w:pPr>
        <w:pStyle w:val="ManualNumPar1"/>
        <w:rPr>
          <w:noProof/>
          <w:szCs w:val="24"/>
        </w:rPr>
      </w:pPr>
      <w:r w:rsidRPr="00222128">
        <w:t>2.</w:t>
      </w:r>
      <w:r w:rsidRPr="00222128">
        <w:tab/>
        <w:t>Členské státy sdělí Komisi znění hlavních ustanovení vnitrostátních právních předpisů, které přijmou v oblasti působnosti této směrnice.</w:t>
      </w:r>
    </w:p>
    <w:p w:rsidR="0025775A" w:rsidRPr="00222128" w:rsidRDefault="0025775A" w:rsidP="0025775A">
      <w:pPr>
        <w:pStyle w:val="Titrearticle"/>
        <w:spacing w:before="120"/>
        <w:rPr>
          <w:noProof/>
        </w:rPr>
      </w:pPr>
      <w:r w:rsidRPr="00222128">
        <w:t>Článek 5</w:t>
      </w:r>
    </w:p>
    <w:p w:rsidR="0025775A" w:rsidRPr="00222128" w:rsidRDefault="0025775A" w:rsidP="0025775A">
      <w:pPr>
        <w:jc w:val="center"/>
        <w:rPr>
          <w:b/>
          <w:noProof/>
        </w:rPr>
      </w:pPr>
      <w:r w:rsidRPr="00222128">
        <w:rPr>
          <w:b/>
          <w:noProof/>
        </w:rPr>
        <w:t>Vstup v platnost</w:t>
      </w:r>
    </w:p>
    <w:p w:rsidR="0025775A" w:rsidRPr="00222128" w:rsidRDefault="0025775A" w:rsidP="0025775A">
      <w:pPr>
        <w:rPr>
          <w:noProof/>
        </w:rPr>
      </w:pPr>
      <w:r w:rsidRPr="00222128">
        <w:t xml:space="preserve">Tato směrnice vstupuje v platnost dvacátým dnem po vyhlášení v </w:t>
      </w:r>
      <w:r w:rsidRPr="00222128">
        <w:rPr>
          <w:i/>
        </w:rPr>
        <w:t>Úředním věstníku Evropské unie</w:t>
      </w:r>
      <w:r w:rsidRPr="00222128">
        <w:t>.</w:t>
      </w:r>
    </w:p>
    <w:p w:rsidR="0025775A" w:rsidRPr="00222128" w:rsidRDefault="0025775A" w:rsidP="0025775A">
      <w:pPr>
        <w:pStyle w:val="Titrearticle"/>
        <w:spacing w:before="120"/>
        <w:rPr>
          <w:noProof/>
        </w:rPr>
      </w:pPr>
      <w:r w:rsidRPr="00222128">
        <w:t>Článek 6</w:t>
      </w:r>
    </w:p>
    <w:p w:rsidR="0025775A" w:rsidRPr="00222128" w:rsidRDefault="0025775A" w:rsidP="0025775A">
      <w:pPr>
        <w:jc w:val="center"/>
        <w:rPr>
          <w:b/>
          <w:noProof/>
        </w:rPr>
      </w:pPr>
      <w:r w:rsidRPr="00222128">
        <w:rPr>
          <w:b/>
          <w:noProof/>
        </w:rPr>
        <w:t>Určení</w:t>
      </w:r>
    </w:p>
    <w:p w:rsidR="0025775A" w:rsidRPr="00222128" w:rsidRDefault="0025775A" w:rsidP="0025775A">
      <w:pPr>
        <w:keepNext/>
        <w:keepLines/>
        <w:rPr>
          <w:noProof/>
        </w:rPr>
      </w:pPr>
      <w:r w:rsidRPr="00222128">
        <w:t>Tato směrnice je určena členským státům.</w:t>
      </w:r>
    </w:p>
    <w:p w:rsidR="0025775A" w:rsidRPr="00222128" w:rsidRDefault="0025775A" w:rsidP="0025775A">
      <w:pPr>
        <w:pStyle w:val="Fait"/>
        <w:rPr>
          <w:noProof/>
        </w:rPr>
      </w:pPr>
      <w:r w:rsidRPr="00CF3F73">
        <w:t>V Bruselu dne</w:t>
      </w:r>
    </w:p>
    <w:p w:rsidR="0025775A" w:rsidRPr="00222128" w:rsidRDefault="0025775A" w:rsidP="0025775A">
      <w:pPr>
        <w:pStyle w:val="Institutionquisigne"/>
        <w:spacing w:before="120" w:after="120"/>
        <w:rPr>
          <w:noProof/>
        </w:rPr>
      </w:pPr>
      <w:r w:rsidRPr="00222128">
        <w:t>Za Evropský parlament</w:t>
      </w:r>
      <w:r w:rsidRPr="00222128">
        <w:tab/>
        <w:t>Za Radu</w:t>
      </w:r>
    </w:p>
    <w:p w:rsidR="0025775A" w:rsidRPr="00CF3F73" w:rsidRDefault="0025775A" w:rsidP="0025775A">
      <w:pPr>
        <w:pStyle w:val="Personnequisigne"/>
        <w:spacing w:before="120" w:after="120"/>
        <w:rPr>
          <w:noProof/>
        </w:rPr>
      </w:pPr>
      <w:r w:rsidRPr="00222128">
        <w:t>předseda</w:t>
      </w:r>
      <w:r w:rsidRPr="00222128">
        <w:tab/>
        <w:t>předseda/předsedkyně</w:t>
      </w:r>
    </w:p>
    <w:p w:rsidR="002428B2" w:rsidRPr="002C00DF" w:rsidRDefault="002428B2" w:rsidP="0025775A">
      <w:pPr>
        <w:pStyle w:val="Pagedecouverture"/>
        <w:rPr>
          <w:noProof/>
        </w:rPr>
      </w:pPr>
    </w:p>
    <w:sectPr w:rsidR="002428B2" w:rsidRPr="002C00DF" w:rsidSect="00CF3F73"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9" w:rsidRDefault="00E660D9">
      <w:pPr>
        <w:spacing w:before="0" w:after="0"/>
      </w:pPr>
      <w:r>
        <w:separator/>
      </w:r>
    </w:p>
  </w:endnote>
  <w:endnote w:type="continuationSeparator" w:id="0">
    <w:p w:rsidR="00E660D9" w:rsidRDefault="00E660D9">
      <w:pPr>
        <w:spacing w:before="0" w:after="0"/>
      </w:pPr>
      <w:r>
        <w:continuationSeparator/>
      </w:r>
    </w:p>
  </w:endnote>
  <w:endnote w:type="continuationNotice" w:id="1">
    <w:p w:rsidR="00E660D9" w:rsidRDefault="00E660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00DF" w:rsidRPr="00D94637" w:rsidTr="002C00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00DF" w:rsidRPr="00D94637" w:rsidRDefault="002C00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2C00DF" w:rsidRPr="00B310DC" w:rsidTr="002C00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00DF" w:rsidRPr="00AD7BF2" w:rsidRDefault="002C00DF" w:rsidP="004F54B2">
          <w:pPr>
            <w:pStyle w:val="FooterText"/>
          </w:pPr>
          <w:r>
            <w:t>14973/15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00DF" w:rsidRPr="00AD7BF2" w:rsidRDefault="002C00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00DF" w:rsidRPr="002511D8" w:rsidRDefault="002C00DF" w:rsidP="00D94637">
          <w:pPr>
            <w:pStyle w:val="FooterText"/>
            <w:jc w:val="center"/>
          </w:pPr>
          <w:r>
            <w:t>bl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00DF" w:rsidRPr="00B310DC" w:rsidRDefault="002C00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2C00DF" w:rsidRPr="00D94637" w:rsidTr="002C00DF">
      <w:trPr>
        <w:jc w:val="center"/>
      </w:trPr>
      <w:tc>
        <w:tcPr>
          <w:tcW w:w="1774" w:type="pct"/>
          <w:shd w:val="clear" w:color="auto" w:fill="auto"/>
        </w:tcPr>
        <w:p w:rsidR="002C00DF" w:rsidRPr="00AD7BF2" w:rsidRDefault="002C00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00DF" w:rsidRPr="00AD7BF2" w:rsidRDefault="002C00DF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2C00DF" w:rsidRPr="00D94637" w:rsidRDefault="002C00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00DF" w:rsidRPr="00D94637" w:rsidRDefault="002C00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4"/>
  </w:tbl>
  <w:p w:rsidR="00AE0CF0" w:rsidRPr="002C00DF" w:rsidRDefault="00AE0CF0" w:rsidP="002C00D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00DF" w:rsidRPr="00D94637" w:rsidTr="002C00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00DF" w:rsidRPr="00D94637" w:rsidRDefault="002C00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C00DF" w:rsidRPr="00B310DC" w:rsidTr="002C00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00DF" w:rsidRPr="00AD7BF2" w:rsidRDefault="002C00DF" w:rsidP="004F54B2">
          <w:pPr>
            <w:pStyle w:val="FooterText"/>
          </w:pPr>
          <w:r>
            <w:t>14973/15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00DF" w:rsidRPr="00AD7BF2" w:rsidRDefault="002C00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00DF" w:rsidRPr="002511D8" w:rsidRDefault="002C00DF" w:rsidP="00D94637">
          <w:pPr>
            <w:pStyle w:val="FooterText"/>
            <w:jc w:val="center"/>
          </w:pPr>
          <w:r>
            <w:t>bl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00DF" w:rsidRPr="00B310DC" w:rsidRDefault="002C00DF" w:rsidP="00D94637">
          <w:pPr>
            <w:pStyle w:val="FooterText"/>
            <w:jc w:val="right"/>
          </w:pPr>
        </w:p>
      </w:tc>
    </w:tr>
    <w:tr w:rsidR="002C00DF" w:rsidRPr="00D94637" w:rsidTr="002C00DF">
      <w:trPr>
        <w:jc w:val="center"/>
      </w:trPr>
      <w:tc>
        <w:tcPr>
          <w:tcW w:w="1774" w:type="pct"/>
          <w:shd w:val="clear" w:color="auto" w:fill="auto"/>
        </w:tcPr>
        <w:p w:rsidR="002C00DF" w:rsidRPr="00AD7BF2" w:rsidRDefault="002C00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00DF" w:rsidRPr="00AD7BF2" w:rsidRDefault="002C00DF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2C00DF" w:rsidRPr="00D94637" w:rsidRDefault="002C00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00DF" w:rsidRPr="00D94637" w:rsidRDefault="002C00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A1221B" w:rsidRPr="002C00DF" w:rsidRDefault="00A1221B" w:rsidP="002C00D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Footer"/>
      <w:rPr>
        <w:rFonts w:ascii="Arial" w:hAnsi="Arial" w:cs="Arial"/>
        <w:b/>
        <w:sz w:val="48"/>
      </w:rPr>
    </w:pPr>
    <w:r w:rsidRPr="00CF3F73">
      <w:rPr>
        <w:rFonts w:ascii="Arial" w:hAnsi="Arial" w:cs="Arial"/>
        <w:b/>
        <w:sz w:val="48"/>
      </w:rPr>
      <w:t>CS</w:t>
    </w:r>
    <w:r w:rsidRPr="00CF3F73">
      <w:rPr>
        <w:rFonts w:ascii="Arial" w:hAnsi="Arial" w:cs="Arial"/>
        <w:b/>
        <w:sz w:val="48"/>
      </w:rPr>
      <w:tab/>
    </w:r>
    <w:r w:rsidRPr="00CF3F73"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CF3F73">
      <w:tab/>
    </w:r>
    <w:r w:rsidRPr="00CF3F73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73" w:rsidRPr="00CF3F73" w:rsidRDefault="0025775A" w:rsidP="00CF3F73">
    <w:pPr>
      <w:pStyle w:val="Footer"/>
      <w:rPr>
        <w:rFonts w:ascii="Arial" w:hAnsi="Arial" w:cs="Arial"/>
        <w:b/>
        <w:sz w:val="48"/>
      </w:rPr>
    </w:pPr>
    <w:r w:rsidRPr="00CF3F73">
      <w:rPr>
        <w:rFonts w:ascii="Arial" w:hAnsi="Arial" w:cs="Arial"/>
        <w:b/>
        <w:sz w:val="48"/>
      </w:rPr>
      <w:t>CS</w:t>
    </w:r>
    <w:r w:rsidRPr="00CF3F7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CF3F73">
      <w:tab/>
    </w:r>
    <w:r w:rsidRPr="00CF3F73">
      <w:rPr>
        <w:rFonts w:ascii="Arial" w:hAnsi="Arial" w:cs="Arial"/>
        <w:b/>
        <w:sz w:val="48"/>
      </w:rPr>
      <w:t>CS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73" w:rsidRPr="00CF3F73" w:rsidRDefault="0025775A" w:rsidP="00CF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9" w:rsidRDefault="00E660D9">
      <w:pPr>
        <w:spacing w:before="0" w:after="0"/>
      </w:pPr>
      <w:r>
        <w:separator/>
      </w:r>
    </w:p>
  </w:footnote>
  <w:footnote w:type="continuationSeparator" w:id="0">
    <w:p w:rsidR="00E660D9" w:rsidRDefault="00E660D9">
      <w:pPr>
        <w:spacing w:before="0" w:after="0"/>
      </w:pPr>
      <w:r>
        <w:continuationSeparator/>
      </w:r>
    </w:p>
  </w:footnote>
  <w:footnote w:type="continuationNotice" w:id="1">
    <w:p w:rsidR="00E660D9" w:rsidRDefault="00E660D9">
      <w:pPr>
        <w:spacing w:before="0" w:after="0"/>
      </w:pPr>
    </w:p>
  </w:footnote>
  <w:footnote w:id="2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Evropského parlamentu a Rady 2008/98/ES ze dne 19. listopadu 2008 o odpadech a o zrušení některých směrnic (Úř. věst. L 312, 22.11.2008, s. 3).</w:t>
      </w:r>
    </w:p>
  </w:footnote>
  <w:footnote w:id="3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Evropského parlamentu a Rady 94/62/ES ze dne 20. prosince 1994 o obalech a obalových odpadech (Úř. věst. L 365, 31.12.1994, s. 10).</w:t>
      </w:r>
    </w:p>
  </w:footnote>
  <w:footnote w:id="4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Rady 1999/31/ES ze dne 26. dubna 1999 o skládkách odpadů (Úř. věst. L 182, 16.7.1999, s. 1).</w:t>
      </w:r>
    </w:p>
  </w:footnote>
  <w:footnote w:id="5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Evropského parlamentu a Rady 2000/53/ES ze dne 18. září 2000 o vozidlech s ukončenou životností (Úř. věst. L 269, 21.10.2000, s. 34).</w:t>
      </w:r>
    </w:p>
  </w:footnote>
  <w:footnote w:id="6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Evropského parlamentu a Rady 2006/66/ES ze dne 6. září 2006 o bateriích a akumulátorech a odpadních bateriích a akumulátorech a o zrušení směrnice 91/157/EHS (Úř. věst. L 266, 26.9.2006, s. 1).</w:t>
      </w:r>
    </w:p>
  </w:footnote>
  <w:footnote w:id="7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Směrnice Evropského parlamentu a Rady 2012/19/EU ze dne 4. července 2012 o odpadních elektrických a elektronických zařízeních (OEEZ) (Úř. věst. L 197, 24.7.2012, s. 38).</w:t>
      </w:r>
    </w:p>
  </w:footnote>
  <w:footnote w:id="8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KOM(2011) 571.</w:t>
      </w:r>
    </w:p>
  </w:footnote>
  <w:footnote w:id="9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Rozhodnutí Evropského parlamentu a Rady č. 1386/2013/EU ze dne 20. listopadu 2013 o všeobecném akčním programu Unie pro životní prostředí na období do roku 2020 „Spokojený život v mezích naší planety“ (Úř. věst. L 354, 28.12.2013, s. 171).</w:t>
      </w:r>
    </w:p>
  </w:footnote>
  <w:footnote w:id="10">
    <w:p w:rsidR="0025775A" w:rsidRDefault="0025775A" w:rsidP="0025775A">
      <w:pPr>
        <w:pStyle w:val="FootnoteText"/>
      </w:pPr>
      <w:r>
        <w:rPr>
          <w:rStyle w:val="FootnoteReference"/>
        </w:rPr>
        <w:footnoteRef/>
      </w:r>
      <w:r>
        <w:tab/>
        <w:t>Hierarchie způsobů nakládání s odpady upřednostňuje na prvním místě předcházení vzniku odpadů, dále následuje opětovné použití a recyklace před energetickým využitím a odstraněním, které zahrnuje ukládání na skládky a spalování bez energetického využití.</w:t>
      </w:r>
    </w:p>
  </w:footnote>
  <w:footnote w:id="11">
    <w:p w:rsidR="0025775A" w:rsidRDefault="0025775A" w:rsidP="0025775A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222128">
        <w:rPr>
          <w:lang w:val="pt-PT"/>
        </w:rPr>
        <w:tab/>
        <w:t>KOM(2008) 699 a COM(2014) 297.</w:t>
      </w:r>
    </w:p>
  </w:footnote>
  <w:footnote w:id="12">
    <w:p w:rsidR="0025775A" w:rsidRDefault="0025775A" w:rsidP="0025775A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222128">
        <w:rPr>
          <w:lang w:val="pt-PT"/>
        </w:rPr>
        <w:tab/>
        <w:t>COM(2014) 397.</w:t>
      </w:r>
    </w:p>
  </w:footnote>
  <w:footnote w:id="13">
    <w:p w:rsidR="0025775A" w:rsidRPr="00222128" w:rsidRDefault="0025775A" w:rsidP="0025775A">
      <w:pPr>
        <w:pStyle w:val="FootnoteText"/>
        <w:rPr>
          <w:lang w:val="nn-NO"/>
        </w:rPr>
      </w:pPr>
      <w:r>
        <w:rPr>
          <w:rStyle w:val="FootnoteReference"/>
        </w:rPr>
        <w:footnoteRef/>
      </w:r>
      <w:r w:rsidRPr="00222128">
        <w:rPr>
          <w:lang w:val="pt-PT"/>
        </w:rPr>
        <w:tab/>
        <w:t xml:space="preserve">Úř. věst. </w:t>
      </w:r>
      <w:r w:rsidRPr="00222128">
        <w:rPr>
          <w:lang w:val="nn-NO"/>
        </w:rPr>
        <w:t>C , , s. .</w:t>
      </w:r>
    </w:p>
  </w:footnote>
  <w:footnote w:id="14">
    <w:p w:rsidR="0025775A" w:rsidRPr="00222128" w:rsidRDefault="0025775A" w:rsidP="0025775A">
      <w:pPr>
        <w:pStyle w:val="FootnoteText"/>
        <w:rPr>
          <w:lang w:val="nn-NO"/>
        </w:rPr>
      </w:pPr>
      <w:r>
        <w:rPr>
          <w:rStyle w:val="FootnoteReference"/>
        </w:rPr>
        <w:footnoteRef/>
      </w:r>
      <w:r w:rsidRPr="00222128">
        <w:rPr>
          <w:lang w:val="nn-NO"/>
        </w:rPr>
        <w:tab/>
        <w:t>Úř. věst. C , , s. .</w:t>
      </w:r>
    </w:p>
  </w:footnote>
  <w:footnote w:id="15">
    <w:p w:rsidR="0025775A" w:rsidRDefault="0025775A" w:rsidP="0025775A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ab/>
        <w:t>Úř. věst. C 369, 17.12.2011, s.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5A" w:rsidRPr="00CF3F73" w:rsidRDefault="0025775A" w:rsidP="00CF3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51E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22C2F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B408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7620D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F6236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3494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BAB3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D3EB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_EXISTS" w:val="True"/>
    <w:docVar w:name="CoverPageOnWordDoc" w:val="false"/>
    <w:docVar w:name="DocuWriteMetaData" w:val="&lt;metadataset docuwriteversion=&quot;3.6.7&quot; technicalblockguid=&quot;f469e0c4-1e5d-4954-83d3-d24fe61f7cee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5&quot; text=&quot;NÁVRH&quot; /&gt;_x000d__x000a_    &lt;/basicdatatype&gt;_x000d__x000a_  &lt;/metadata&gt;_x000d__x000a_  &lt;metadata key=&quot;md_HeadingText&quot;&gt;_x000d__x000a_    &lt;headingtext text=&quot;NÁVRH&quot;&gt;_x000d__x000a_      &lt;formattedtext&gt;_x000d__x000a_        &lt;xaml text=&quot;NÁVRH&quot;&gt;&amp;lt;FlowDocument xmlns=&quot;http://schemas.microsoft.com/winfx/2006/xaml/presentation&quot;&amp;gt;&amp;lt;Paragraph&amp;gt;NÁVRH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97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769&lt;/text&gt;_x000d__x000a_      &lt;text&gt;ENT 258&lt;/text&gt;_x000d__x000a_      &lt;text&gt;MI 780&lt;/text&gt;_x000d__x000a_      &lt;text&gt;CODEC 166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72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1&quot; text=&quot;Jordi AYET PUIGARNAU, &amp;#345;editel, za generálního tajemníka Evropské komise&quot; /&gt;_x000d__x000a_    &lt;/basicdatatype&gt;_x000d__x000a_  &lt;/metadata&gt;_x000d__x000a_  &lt;metadata key=&quot;md_Recipient&quot;&gt;_x000d__x000a_    &lt;basicdatatype&gt;_x000d__x000a_      &lt;recipient key=&quot;re_02&quot; text=&quot;Jeppe TRANHOLM-MIKKELSEN, generální tajemník Rady Evropské unie&quot; /&gt;_x000d__x000a_    &lt;/basicdatatype&gt;_x000d__x000a_  &lt;/metadata&gt;_x000d__x000a_  &lt;metadata key=&quot;md_DateOfReceipt&quot;&gt;_x000d__x000a_    &lt;text&gt;2015-12-0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5) 593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Návrh SM&amp;#282;RNICE EVROPSKÉHO PARLAMENTU A RADY, kterou se m&amp;#283;ní sm&amp;#283;rnice 2000/53/ES o vozidlech s ukon&amp;#269;enou &amp;#382;ivotností, sm&amp;#283;rnice 2006/66/ES o bateriích a akumulátorech a odpadních bateriích  a akumulátorech a sm&amp;#283;rnice 2012/19/EU o odpadních elektrických  a elektronických za&amp;#345;ízeních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Návrh SM&amp;#282;RNICE EVROPSKÉHO PARLAMENTU A RADY, kterou se m&amp;#283;ní sm&amp;#283;rnice 2000/53/ES o vozidlech s ukon&amp;#269;enou &amp;#382;ivotností, sm&amp;#283;rnice 2006/66/ES o bateriích a akumulátorech a odpadních bateriích &amp;lt;/Run&amp;gt;&amp;lt;LineBreak /&amp;gt;&amp;lt;Run FontFamily=&quot;Arial Unicode MS&quot; xml:space=&quot;preserve&quot;&amp;gt;a akumulátorech a sm&amp;#283;rnice 2012/19/EU o odpadních elektrických &amp;lt;/Run&amp;gt;&amp;lt;LineBreak /&amp;gt;&amp;lt;Run FontFamily=&quot;Arial Unicode MS&quot;&amp;gt;a elektronických za&amp;#345;ízeních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A&lt;/text&gt;_x000d__x000a_  &lt;/metadata&gt;_x000d__x000a_  &lt;metadata key=&quot;md_Initials&quot;&gt;_x000d__x000a_    &lt;text&gt;b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Proposal for a _x000d__x000a_DIRECTIVE OF THE EUROPEAN PARLIAMENT AND OF THE COUNCIL&lt;/text&gt;_x000d__x000a_  &lt;/metadata&gt;_x000d__x000a_  &lt;metadata key=&quot;md_SourceDocTitle&quot;&gt;_x000d__x000a_    &lt;text&gt;amending Directives 2000/53/EC on end-of-life vehicles, 2006/66/EC on batteries and accumulators and waste batteries and accumulators, and 2012/19/EU on waste electrical and electronic equipment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DateTime" w:val="2015-11-30 19:30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003102ABF26640378B470F89E582DC4B"/>
    <w:docVar w:name="LW_CROSSREFERENCE" w:val="{SWD(2015) 259 final}_x000a_{SWD(2015) 260 final}"/>
    <w:docVar w:name="LW_DocType" w:val="COM"/>
    <w:docVar w:name="LW_EMISSION" w:val="2.12.2015"/>
    <w:docVar w:name="LW_EMISSION_ISODATE" w:val="2015-12-02"/>
    <w:docVar w:name="LW_EMISSION_LOCATION" w:val="BRX"/>
    <w:docVar w:name="LW_EMISSION_PREFIX" w:val="Brussels, "/>
    <w:docVar w:name="LW_EMISSION_SUFFIX" w:val=" "/>
    <w:docVar w:name="LW_ID_DOCMODEL" w:val="SJ-024"/>
    <w:docVar w:name="LW_ID_DOCSIGNATURE" w:val="SJ-024"/>
    <w:docVar w:name="LW_ID_DOCSTRUCTURE" w:val="COM/PL/ORG"/>
    <w:docVar w:name="LW_ID_DOCTYPE" w:val="SJ-024"/>
    <w:docVar w:name="LW_ID_STATUT" w:val="SJ-024"/>
    <w:docVar w:name="LW_INTERETEEE.CP" w:val="(Text with EEA relevance)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72"/>
    <w:docVar w:name="LW_REF.II.NEW.CP_YEAR" w:val="2015"/>
    <w:docVar w:name="LW_REF.INST.NEW" w:val="COM"/>
    <w:docVar w:name="LW_REF.INST.NEW_ADOPTED" w:val="final"/>
    <w:docVar w:name="LW_REF.INST.NEW_TEXT" w:val="(2015) 593"/>
    <w:docVar w:name="LW_REF.INTERNE" w:val="&lt;UNUSED&gt;"/>
    <w:docVar w:name="LW_SOUS.TITRE.OBJ.CP" w:val="&lt;UNUSED&gt;"/>
    <w:docVar w:name="LW_STATUT.CP" w:val="Proposal for a"/>
    <w:docVar w:name="LW_SUPERTITRE" w:val="&lt;UNUSED&gt;"/>
    <w:docVar w:name="LW_TITRE.OBJ.CP" w:val="amending Directives 2000/53/EC on end-of-life vehicles, 2006/66/EC on batteries and accumulators and waste batteries and accumulators, and 2012/19/EU on waste electrical and electronic equipment "/>
    <w:docVar w:name="LW_TYPE.DOC.CP" w:val="DIRECTIVE OF THE EUROPEAN PARLIAMENT AND OF THE COUNCIL"/>
  </w:docVars>
  <w:rsids>
    <w:rsidRoot w:val="00096DE8"/>
    <w:rsid w:val="00063AC8"/>
    <w:rsid w:val="00096DE8"/>
    <w:rsid w:val="000A3A1E"/>
    <w:rsid w:val="002428B2"/>
    <w:rsid w:val="0025775A"/>
    <w:rsid w:val="002C00DF"/>
    <w:rsid w:val="004342C4"/>
    <w:rsid w:val="004E46BE"/>
    <w:rsid w:val="00512D58"/>
    <w:rsid w:val="005B378C"/>
    <w:rsid w:val="005E44A1"/>
    <w:rsid w:val="00670F87"/>
    <w:rsid w:val="00676C66"/>
    <w:rsid w:val="007D51AE"/>
    <w:rsid w:val="007F381D"/>
    <w:rsid w:val="009640AB"/>
    <w:rsid w:val="009A3804"/>
    <w:rsid w:val="00A1221B"/>
    <w:rsid w:val="00A738E2"/>
    <w:rsid w:val="00A84E4C"/>
    <w:rsid w:val="00AE0CF0"/>
    <w:rsid w:val="00BF0E25"/>
    <w:rsid w:val="00C44988"/>
    <w:rsid w:val="00E660D9"/>
    <w:rsid w:val="00ED650D"/>
    <w:rsid w:val="00F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 w:cs="Times New Roman"/>
      <w:sz w:val="24"/>
      <w:szCs w:val="22"/>
      <w:lang w:val="cs-CZ" w:eastAsia="zh-CN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31"/>
      </w:numPr>
      <w:spacing w:before="360"/>
      <w:outlineLvl w:val="0"/>
    </w:pPr>
    <w:rPr>
      <w:rFonts w:eastAsia="SimSu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31"/>
      </w:numPr>
      <w:outlineLvl w:val="1"/>
    </w:pPr>
    <w:rPr>
      <w:rFonts w:eastAsia="SimSu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31"/>
      </w:numPr>
      <w:outlineLvl w:val="2"/>
    </w:pPr>
    <w:rPr>
      <w:rFonts w:eastAsia="SimSu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31"/>
      </w:numPr>
      <w:outlineLvl w:val="3"/>
    </w:pPr>
    <w:rPr>
      <w:rFonts w:eastAsia="SimSu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pPr>
      <w:spacing w:after="200" w:line="276" w:lineRule="auto"/>
    </w:pPr>
    <w:rPr>
      <w:rFonts w:ascii="Times New Roman" w:hAnsi="Times New Roman" w:cs="Times New Roman"/>
      <w:sz w:val="24"/>
      <w:szCs w:val="22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0CF0"/>
    <w:pPr>
      <w:tabs>
        <w:tab w:val="center" w:pos="4535"/>
        <w:tab w:val="right" w:pos="9071"/>
      </w:tabs>
      <w:spacing w:before="0"/>
    </w:pPr>
    <w:rPr>
      <w:rFonts w:eastAsia="Calibri"/>
      <w:lang w:eastAsia="en-US"/>
    </w:rPr>
  </w:style>
  <w:style w:type="character" w:customStyle="1" w:styleId="HeaderChar">
    <w:name w:val="Header Char"/>
    <w:link w:val="Header"/>
    <w:uiPriority w:val="99"/>
    <w:rsid w:val="00AE0CF0"/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D53B6"/>
    <w:rPr>
      <w:rFonts w:ascii="Times New Roman" w:eastAsia="SimSun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link w:val="Heading2"/>
    <w:uiPriority w:val="9"/>
    <w:semiHidden/>
    <w:rsid w:val="007D53B6"/>
    <w:rPr>
      <w:rFonts w:ascii="Times New Roman" w:eastAsia="SimSun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link w:val="Heading3"/>
    <w:uiPriority w:val="9"/>
    <w:semiHidden/>
    <w:rsid w:val="007D53B6"/>
    <w:rPr>
      <w:rFonts w:ascii="Times New Roman" w:eastAsia="SimSun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link w:val="Heading4"/>
    <w:uiPriority w:val="9"/>
    <w:semiHidden/>
    <w:rsid w:val="007D53B6"/>
    <w:rPr>
      <w:rFonts w:ascii="Times New Roman" w:eastAsia="SimSun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E0CF0"/>
    <w:pPr>
      <w:tabs>
        <w:tab w:val="center" w:pos="7285"/>
        <w:tab w:val="right" w:pos="14003"/>
      </w:tabs>
      <w:spacing w:before="0"/>
    </w:pPr>
    <w:rPr>
      <w:rFonts w:eastAsia="Calibri"/>
      <w:lang w:eastAsia="en-US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25"/>
      </w:numPr>
    </w:pPr>
  </w:style>
  <w:style w:type="paragraph" w:customStyle="1" w:styleId="Tiret1">
    <w:name w:val="Tiret 1"/>
    <w:basedOn w:val="Point1"/>
    <w:rsid w:val="007D53B6"/>
    <w:pPr>
      <w:numPr>
        <w:numId w:val="26"/>
      </w:numPr>
    </w:pPr>
  </w:style>
  <w:style w:type="paragraph" w:customStyle="1" w:styleId="Tiret2">
    <w:name w:val="Tiret 2"/>
    <w:basedOn w:val="Point2"/>
    <w:rsid w:val="007D53B6"/>
    <w:pPr>
      <w:numPr>
        <w:numId w:val="27"/>
      </w:numPr>
    </w:pPr>
  </w:style>
  <w:style w:type="paragraph" w:customStyle="1" w:styleId="Tiret3">
    <w:name w:val="Tiret 3"/>
    <w:basedOn w:val="Point3"/>
    <w:rsid w:val="007D53B6"/>
    <w:pPr>
      <w:numPr>
        <w:numId w:val="28"/>
      </w:numPr>
    </w:pPr>
  </w:style>
  <w:style w:type="paragraph" w:customStyle="1" w:styleId="Tiret4">
    <w:name w:val="Tiret 4"/>
    <w:basedOn w:val="Point4"/>
    <w:rsid w:val="007D53B6"/>
    <w:pPr>
      <w:numPr>
        <w:numId w:val="29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A1221B"/>
    <w:rPr>
      <w:color w:val="0000FF"/>
      <w:shd w:val="clear" w:color="auto" w:fill="auto"/>
    </w:rPr>
  </w:style>
  <w:style w:type="character" w:customStyle="1" w:styleId="Marker1">
    <w:name w:val="Marker1"/>
    <w:rsid w:val="007D53B6"/>
    <w:rPr>
      <w:color w:val="008000"/>
      <w:shd w:val="clear" w:color="auto" w:fill="auto"/>
    </w:rPr>
  </w:style>
  <w:style w:type="character" w:customStyle="1" w:styleId="Marker2">
    <w:name w:val="Marker2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32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7D53B6"/>
    <w:pPr>
      <w:numPr>
        <w:numId w:val="33"/>
      </w:numPr>
    </w:pPr>
  </w:style>
  <w:style w:type="paragraph" w:customStyle="1" w:styleId="Bullet1">
    <w:name w:val="Bullet 1"/>
    <w:basedOn w:val="Normal"/>
    <w:rsid w:val="007D53B6"/>
    <w:pPr>
      <w:numPr>
        <w:numId w:val="34"/>
      </w:numPr>
    </w:pPr>
  </w:style>
  <w:style w:type="paragraph" w:customStyle="1" w:styleId="Bullet2">
    <w:name w:val="Bullet 2"/>
    <w:basedOn w:val="Normal"/>
    <w:rsid w:val="007D53B6"/>
    <w:pPr>
      <w:numPr>
        <w:numId w:val="35"/>
      </w:numPr>
    </w:pPr>
  </w:style>
  <w:style w:type="paragraph" w:customStyle="1" w:styleId="Bullet3">
    <w:name w:val="Bullet 3"/>
    <w:basedOn w:val="Normal"/>
    <w:rsid w:val="007D53B6"/>
    <w:pPr>
      <w:numPr>
        <w:numId w:val="36"/>
      </w:numPr>
    </w:pPr>
  </w:style>
  <w:style w:type="paragraph" w:customStyle="1" w:styleId="Bullet4">
    <w:name w:val="Bullet 4"/>
    <w:basedOn w:val="Normal"/>
    <w:rsid w:val="007D53B6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rsid w:val="007D53B6"/>
    <w:rPr>
      <w:b/>
      <w:u w:val="single"/>
      <w:shd w:val="clear" w:color="auto" w:fill="auto"/>
    </w:rPr>
  </w:style>
  <w:style w:type="character" w:customStyle="1" w:styleId="Deleted">
    <w:name w:val="Deleted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A1221B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A1221B"/>
    <w:rPr>
      <w:rFonts w:ascii="Times New Roman" w:hAnsi="Times New Roman" w:cs="Times New Roman"/>
      <w:sz w:val="24"/>
      <w:szCs w:val="22"/>
      <w:lang w:eastAsia="zh-CN"/>
    </w:rPr>
  </w:style>
  <w:style w:type="paragraph" w:customStyle="1" w:styleId="Lignefinal">
    <w:name w:val="Ligne final"/>
    <w:basedOn w:val="Normal"/>
    <w:next w:val="Normal"/>
    <w:rsid w:val="00A1221B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  <w:szCs w:val="24"/>
      <w:lang w:eastAsia="en-US"/>
    </w:rPr>
  </w:style>
  <w:style w:type="paragraph" w:customStyle="1" w:styleId="EntText">
    <w:name w:val="EntText"/>
    <w:basedOn w:val="Normal"/>
    <w:rsid w:val="00A1221B"/>
    <w:pPr>
      <w:spacing w:line="360" w:lineRule="auto"/>
      <w:jc w:val="left"/>
    </w:pPr>
    <w:rPr>
      <w:szCs w:val="24"/>
      <w:lang w:eastAsia="en-US"/>
    </w:rPr>
  </w:style>
  <w:style w:type="paragraph" w:customStyle="1" w:styleId="pj">
    <w:name w:val="p.j."/>
    <w:basedOn w:val="Normal"/>
    <w:link w:val="pjChar"/>
    <w:rsid w:val="00A1221B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A1221B"/>
    <w:rPr>
      <w:rFonts w:ascii="Times New Roman" w:hAnsi="Times New Roman" w:cs="Times New Roman"/>
      <w:sz w:val="24"/>
      <w:szCs w:val="22"/>
      <w:lang w:eastAsia="zh-CN"/>
    </w:rPr>
  </w:style>
  <w:style w:type="paragraph" w:customStyle="1" w:styleId="HeaderCouncil">
    <w:name w:val="Header Council"/>
    <w:basedOn w:val="Normal"/>
    <w:link w:val="HeaderCouncilChar"/>
    <w:rsid w:val="00A1221B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HeaderCouncilLarge">
    <w:name w:val="Header Council Large"/>
    <w:basedOn w:val="Normal"/>
    <w:link w:val="HeaderCouncilLargeChar"/>
    <w:rsid w:val="00A1221B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FooterCouncil">
    <w:name w:val="Footer Council"/>
    <w:basedOn w:val="Normal"/>
    <w:link w:val="FooterCouncilChar"/>
    <w:rsid w:val="00A1221B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FooterText">
    <w:name w:val="Footer Text"/>
    <w:basedOn w:val="Normal"/>
    <w:rsid w:val="00A1221B"/>
    <w:pPr>
      <w:spacing w:before="0" w:after="0"/>
      <w:jc w:val="left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 w:cs="Times New Roman"/>
      <w:sz w:val="24"/>
      <w:szCs w:val="22"/>
      <w:lang w:val="cs-CZ" w:eastAsia="zh-CN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31"/>
      </w:numPr>
      <w:spacing w:before="360"/>
      <w:outlineLvl w:val="0"/>
    </w:pPr>
    <w:rPr>
      <w:rFonts w:eastAsia="SimSu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31"/>
      </w:numPr>
      <w:outlineLvl w:val="1"/>
    </w:pPr>
    <w:rPr>
      <w:rFonts w:eastAsia="SimSu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31"/>
      </w:numPr>
      <w:outlineLvl w:val="2"/>
    </w:pPr>
    <w:rPr>
      <w:rFonts w:eastAsia="SimSu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31"/>
      </w:numPr>
      <w:outlineLvl w:val="3"/>
    </w:pPr>
    <w:rPr>
      <w:rFonts w:eastAsia="SimSu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pPr>
      <w:spacing w:after="200" w:line="276" w:lineRule="auto"/>
    </w:pPr>
    <w:rPr>
      <w:rFonts w:ascii="Times New Roman" w:hAnsi="Times New Roman" w:cs="Times New Roman"/>
      <w:sz w:val="24"/>
      <w:szCs w:val="22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0CF0"/>
    <w:pPr>
      <w:tabs>
        <w:tab w:val="center" w:pos="4535"/>
        <w:tab w:val="right" w:pos="9071"/>
      </w:tabs>
      <w:spacing w:before="0"/>
    </w:pPr>
    <w:rPr>
      <w:rFonts w:eastAsia="Calibri"/>
      <w:lang w:eastAsia="en-US"/>
    </w:rPr>
  </w:style>
  <w:style w:type="character" w:customStyle="1" w:styleId="HeaderChar">
    <w:name w:val="Header Char"/>
    <w:link w:val="Header"/>
    <w:uiPriority w:val="99"/>
    <w:rsid w:val="00AE0CF0"/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D53B6"/>
    <w:rPr>
      <w:rFonts w:ascii="Times New Roman" w:eastAsia="SimSun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link w:val="Heading2"/>
    <w:uiPriority w:val="9"/>
    <w:semiHidden/>
    <w:rsid w:val="007D53B6"/>
    <w:rPr>
      <w:rFonts w:ascii="Times New Roman" w:eastAsia="SimSun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link w:val="Heading3"/>
    <w:uiPriority w:val="9"/>
    <w:semiHidden/>
    <w:rsid w:val="007D53B6"/>
    <w:rPr>
      <w:rFonts w:ascii="Times New Roman" w:eastAsia="SimSun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link w:val="Heading4"/>
    <w:uiPriority w:val="9"/>
    <w:semiHidden/>
    <w:rsid w:val="007D53B6"/>
    <w:rPr>
      <w:rFonts w:ascii="Times New Roman" w:eastAsia="SimSun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E0CF0"/>
    <w:pPr>
      <w:tabs>
        <w:tab w:val="center" w:pos="7285"/>
        <w:tab w:val="right" w:pos="14003"/>
      </w:tabs>
      <w:spacing w:before="0"/>
    </w:pPr>
    <w:rPr>
      <w:rFonts w:eastAsia="Calibri"/>
      <w:lang w:eastAsia="en-US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25"/>
      </w:numPr>
    </w:pPr>
  </w:style>
  <w:style w:type="paragraph" w:customStyle="1" w:styleId="Tiret1">
    <w:name w:val="Tiret 1"/>
    <w:basedOn w:val="Point1"/>
    <w:rsid w:val="007D53B6"/>
    <w:pPr>
      <w:numPr>
        <w:numId w:val="26"/>
      </w:numPr>
    </w:pPr>
  </w:style>
  <w:style w:type="paragraph" w:customStyle="1" w:styleId="Tiret2">
    <w:name w:val="Tiret 2"/>
    <w:basedOn w:val="Point2"/>
    <w:rsid w:val="007D53B6"/>
    <w:pPr>
      <w:numPr>
        <w:numId w:val="27"/>
      </w:numPr>
    </w:pPr>
  </w:style>
  <w:style w:type="paragraph" w:customStyle="1" w:styleId="Tiret3">
    <w:name w:val="Tiret 3"/>
    <w:basedOn w:val="Point3"/>
    <w:rsid w:val="007D53B6"/>
    <w:pPr>
      <w:numPr>
        <w:numId w:val="28"/>
      </w:numPr>
    </w:pPr>
  </w:style>
  <w:style w:type="paragraph" w:customStyle="1" w:styleId="Tiret4">
    <w:name w:val="Tiret 4"/>
    <w:basedOn w:val="Point4"/>
    <w:rsid w:val="007D53B6"/>
    <w:pPr>
      <w:numPr>
        <w:numId w:val="29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A1221B"/>
    <w:rPr>
      <w:color w:val="0000FF"/>
      <w:shd w:val="clear" w:color="auto" w:fill="auto"/>
    </w:rPr>
  </w:style>
  <w:style w:type="character" w:customStyle="1" w:styleId="Marker1">
    <w:name w:val="Marker1"/>
    <w:rsid w:val="007D53B6"/>
    <w:rPr>
      <w:color w:val="008000"/>
      <w:shd w:val="clear" w:color="auto" w:fill="auto"/>
    </w:rPr>
  </w:style>
  <w:style w:type="character" w:customStyle="1" w:styleId="Marker2">
    <w:name w:val="Marker2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32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7D53B6"/>
    <w:pPr>
      <w:numPr>
        <w:numId w:val="33"/>
      </w:numPr>
    </w:pPr>
  </w:style>
  <w:style w:type="paragraph" w:customStyle="1" w:styleId="Bullet1">
    <w:name w:val="Bullet 1"/>
    <w:basedOn w:val="Normal"/>
    <w:rsid w:val="007D53B6"/>
    <w:pPr>
      <w:numPr>
        <w:numId w:val="34"/>
      </w:numPr>
    </w:pPr>
  </w:style>
  <w:style w:type="paragraph" w:customStyle="1" w:styleId="Bullet2">
    <w:name w:val="Bullet 2"/>
    <w:basedOn w:val="Normal"/>
    <w:rsid w:val="007D53B6"/>
    <w:pPr>
      <w:numPr>
        <w:numId w:val="35"/>
      </w:numPr>
    </w:pPr>
  </w:style>
  <w:style w:type="paragraph" w:customStyle="1" w:styleId="Bullet3">
    <w:name w:val="Bullet 3"/>
    <w:basedOn w:val="Normal"/>
    <w:rsid w:val="007D53B6"/>
    <w:pPr>
      <w:numPr>
        <w:numId w:val="36"/>
      </w:numPr>
    </w:pPr>
  </w:style>
  <w:style w:type="paragraph" w:customStyle="1" w:styleId="Bullet4">
    <w:name w:val="Bullet 4"/>
    <w:basedOn w:val="Normal"/>
    <w:rsid w:val="007D53B6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rsid w:val="007D53B6"/>
    <w:rPr>
      <w:b/>
      <w:u w:val="single"/>
      <w:shd w:val="clear" w:color="auto" w:fill="auto"/>
    </w:rPr>
  </w:style>
  <w:style w:type="character" w:customStyle="1" w:styleId="Deleted">
    <w:name w:val="Deleted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A1221B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A1221B"/>
    <w:rPr>
      <w:rFonts w:ascii="Times New Roman" w:hAnsi="Times New Roman" w:cs="Times New Roman"/>
      <w:sz w:val="24"/>
      <w:szCs w:val="22"/>
      <w:lang w:eastAsia="zh-CN"/>
    </w:rPr>
  </w:style>
  <w:style w:type="paragraph" w:customStyle="1" w:styleId="Lignefinal">
    <w:name w:val="Ligne final"/>
    <w:basedOn w:val="Normal"/>
    <w:next w:val="Normal"/>
    <w:rsid w:val="00A1221B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  <w:szCs w:val="24"/>
      <w:lang w:eastAsia="en-US"/>
    </w:rPr>
  </w:style>
  <w:style w:type="paragraph" w:customStyle="1" w:styleId="EntText">
    <w:name w:val="EntText"/>
    <w:basedOn w:val="Normal"/>
    <w:rsid w:val="00A1221B"/>
    <w:pPr>
      <w:spacing w:line="360" w:lineRule="auto"/>
      <w:jc w:val="left"/>
    </w:pPr>
    <w:rPr>
      <w:szCs w:val="24"/>
      <w:lang w:eastAsia="en-US"/>
    </w:rPr>
  </w:style>
  <w:style w:type="paragraph" w:customStyle="1" w:styleId="pj">
    <w:name w:val="p.j."/>
    <w:basedOn w:val="Normal"/>
    <w:link w:val="pjChar"/>
    <w:rsid w:val="00A1221B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A1221B"/>
    <w:rPr>
      <w:rFonts w:ascii="Times New Roman" w:hAnsi="Times New Roman" w:cs="Times New Roman"/>
      <w:sz w:val="24"/>
      <w:szCs w:val="22"/>
      <w:lang w:eastAsia="zh-CN"/>
    </w:rPr>
  </w:style>
  <w:style w:type="paragraph" w:customStyle="1" w:styleId="HeaderCouncil">
    <w:name w:val="Header Council"/>
    <w:basedOn w:val="Normal"/>
    <w:link w:val="HeaderCouncilChar"/>
    <w:rsid w:val="00A1221B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HeaderCouncilLarge">
    <w:name w:val="Header Council Large"/>
    <w:basedOn w:val="Normal"/>
    <w:link w:val="HeaderCouncilLargeChar"/>
    <w:rsid w:val="00A1221B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FooterCouncil">
    <w:name w:val="Footer Council"/>
    <w:basedOn w:val="Normal"/>
    <w:link w:val="FooterCouncilChar"/>
    <w:rsid w:val="00A1221B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A1221B"/>
    <w:rPr>
      <w:rFonts w:ascii="Times New Roman" w:hAnsi="Times New Roman" w:cs="Times New Roman"/>
      <w:sz w:val="2"/>
      <w:szCs w:val="22"/>
      <w:lang w:eastAsia="zh-CN"/>
    </w:rPr>
  </w:style>
  <w:style w:type="paragraph" w:customStyle="1" w:styleId="FooterText">
    <w:name w:val="Footer Text"/>
    <w:basedOn w:val="Normal"/>
    <w:rsid w:val="00A1221B"/>
    <w:pPr>
      <w:spacing w:before="0" w:after="0"/>
      <w:jc w:val="left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VYBAR\AppData\Roaming\Microsoft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8ADB-4D22-4B02-8B3A-A514110B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13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Heilemann</dc:creator>
  <cp:keywords/>
  <cp:lastModifiedBy>LAIBLOVA Barbora</cp:lastModifiedBy>
  <cp:revision>3</cp:revision>
  <cp:lastPrinted>2015-11-23T14:19:00Z</cp:lastPrinted>
  <dcterms:created xsi:type="dcterms:W3CDTF">2015-12-08T07:19:00Z</dcterms:created>
  <dcterms:modified xsi:type="dcterms:W3CDTF">2015-12-08T07:21:00Z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DocuWrite 3.6.7, Build 20150916</vt:lpwstr>
  </property>
  <property fmtid="{D5CDD505-2E9C-101B-9397-08002B2CF9AE}" pid="6" name="Created using">
    <vt:lpwstr>DocuWrite 3.6.7, Build 20150916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SJ-024</vt:lpwstr>
  </property>
  <property fmtid="{D5CDD505-2E9C-101B-9397-08002B2CF9AE}" pid="10" name="LWCR Document">
    <vt:lpwstr>True</vt:lpwstr>
  </property>
  <property fmtid="{D5CDD505-2E9C-101B-9397-08002B2CF9AE}" pid="11" name="LWCR Version">
    <vt:lpwstr>1.6.413</vt:lpwstr>
  </property>
  <property fmtid="{D5CDD505-2E9C-101B-9397-08002B2CF9AE}" pid="12" name="DQCStatus">
    <vt:lpwstr>Yellow (DQC version 03)</vt:lpwstr>
  </property>
</Properties>
</file>